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B27F" w14:textId="77777777" w:rsidR="008E3361" w:rsidRPr="00EC333C" w:rsidRDefault="0081093F" w:rsidP="005F6006">
      <w:pPr>
        <w:tabs>
          <w:tab w:val="left" w:pos="2739"/>
        </w:tabs>
        <w:autoSpaceDE w:val="0"/>
        <w:autoSpaceDN w:val="0"/>
        <w:adjustRightInd w:val="0"/>
        <w:spacing w:after="0" w:line="360" w:lineRule="auto"/>
        <w:ind w:left="-318"/>
        <w:rPr>
          <w:rFonts w:ascii="Times New Roman" w:hAnsi="Times New Roman"/>
          <w:b/>
          <w:sz w:val="24"/>
          <w:szCs w:val="24"/>
        </w:rPr>
      </w:pPr>
      <w:r w:rsidRPr="00EC333C">
        <w:rPr>
          <w:rFonts w:ascii="Times New Roman" w:hAnsi="Times New Roman"/>
          <w:b/>
          <w:sz w:val="24"/>
          <w:szCs w:val="24"/>
        </w:rPr>
        <w:t>2. ATIVIDADES DO CURSO</w:t>
      </w:r>
    </w:p>
    <w:p w14:paraId="57DF5966" w14:textId="77777777" w:rsidR="008E3361" w:rsidRPr="00EC333C" w:rsidRDefault="008E3361" w:rsidP="00175804">
      <w:pPr>
        <w:tabs>
          <w:tab w:val="left" w:pos="2739"/>
        </w:tabs>
        <w:autoSpaceDE w:val="0"/>
        <w:autoSpaceDN w:val="0"/>
        <w:adjustRightInd w:val="0"/>
        <w:spacing w:after="0" w:line="360" w:lineRule="auto"/>
        <w:ind w:left="-318"/>
        <w:rPr>
          <w:rFonts w:ascii="Times New Roman" w:hAnsi="Times New Roman"/>
          <w:sz w:val="24"/>
          <w:szCs w:val="24"/>
        </w:rPr>
      </w:pPr>
    </w:p>
    <w:p w14:paraId="1B2F46EA" w14:textId="56959E39" w:rsidR="00EC333C" w:rsidRPr="00872B9E" w:rsidRDefault="00EC333C" w:rsidP="00175804">
      <w:pPr>
        <w:spacing w:after="128" w:line="360" w:lineRule="auto"/>
        <w:ind w:right="48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72B9E">
        <w:rPr>
          <w:rFonts w:ascii="Times New Roman" w:hAnsi="Times New Roman"/>
          <w:color w:val="0D0D0D"/>
          <w:sz w:val="24"/>
          <w:szCs w:val="24"/>
        </w:rPr>
        <w:t xml:space="preserve">As atividades complementares são atividades </w:t>
      </w:r>
      <w:r w:rsidR="006B33F2" w:rsidRPr="00872B9E">
        <w:rPr>
          <w:rFonts w:ascii="Times New Roman" w:hAnsi="Times New Roman"/>
          <w:color w:val="0D0D0D"/>
          <w:sz w:val="24"/>
          <w:szCs w:val="24"/>
        </w:rPr>
        <w:t>extracurriculares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 que ampliam o conhecimento dos alunos. De acordo com a </w:t>
      </w:r>
      <w:r w:rsidRPr="00872B9E">
        <w:rPr>
          <w:rFonts w:ascii="Times New Roman" w:hAnsi="Times New Roman"/>
          <w:bCs/>
          <w:color w:val="0D0D0D"/>
          <w:sz w:val="24"/>
          <w:szCs w:val="24"/>
        </w:rPr>
        <w:t xml:space="preserve">Resolução </w:t>
      </w:r>
      <w:r w:rsidR="007A596F" w:rsidRPr="00872B9E">
        <w:rPr>
          <w:rFonts w:ascii="Times New Roman" w:hAnsi="Times New Roman"/>
          <w:bCs/>
          <w:color w:val="0D0D0D"/>
          <w:sz w:val="24"/>
          <w:szCs w:val="24"/>
        </w:rPr>
        <w:t xml:space="preserve">CNE/CES </w:t>
      </w:r>
      <w:r w:rsidRPr="00872B9E">
        <w:rPr>
          <w:rFonts w:ascii="Times New Roman" w:hAnsi="Times New Roman"/>
          <w:bCs/>
          <w:color w:val="0D0D0D"/>
          <w:sz w:val="24"/>
          <w:szCs w:val="24"/>
        </w:rPr>
        <w:t>Nº 1, de 6 de janeiro de 2015</w:t>
      </w:r>
      <w:r w:rsidR="007A596F" w:rsidRPr="00872B9E">
        <w:rPr>
          <w:rFonts w:ascii="Times New Roman" w:hAnsi="Times New Roman"/>
          <w:bCs/>
          <w:color w:val="0D0D0D"/>
          <w:sz w:val="24"/>
          <w:szCs w:val="24"/>
        </w:rPr>
        <w:t xml:space="preserve">, </w:t>
      </w:r>
      <w:bookmarkStart w:id="0" w:name="_Hlk50627499"/>
      <w:r w:rsidR="007A596F" w:rsidRPr="00872B9E">
        <w:rPr>
          <w:rFonts w:ascii="Times New Roman" w:hAnsi="Times New Roman"/>
          <w:bCs/>
          <w:color w:val="0D0D0D"/>
          <w:sz w:val="24"/>
          <w:szCs w:val="24"/>
        </w:rPr>
        <w:t>as atividades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 complementares são componentes curriculares</w:t>
      </w:r>
      <w:r w:rsidR="007A596F" w:rsidRPr="00872B9E">
        <w:rPr>
          <w:color w:val="0D0D0D"/>
          <w:sz w:val="24"/>
          <w:szCs w:val="24"/>
        </w:rPr>
        <w:t xml:space="preserve"> </w:t>
      </w:r>
      <w:r w:rsidR="007A596F" w:rsidRPr="00872B9E">
        <w:rPr>
          <w:rStyle w:val="fontstyle01"/>
          <w:color w:val="0D0D0D"/>
        </w:rPr>
        <w:t>são componentes curriculares enriquecedores do perfil do formando e deverão possibilitar o desenvolvimento de habilidades, conhecimentos, competências e atitudes do aluno, inclusive as adquiridas fora do ambiente acadêmico, que serão reconhecidas mediante processo de avaliação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="007A596F" w:rsidRPr="00872B9E">
        <w:rPr>
          <w:rStyle w:val="fontstyle01"/>
          <w:color w:val="0D0D0D"/>
        </w:rPr>
        <w:t xml:space="preserve">A </w:t>
      </w:r>
      <w:r w:rsidRPr="00872B9E">
        <w:rPr>
          <w:rStyle w:val="fontstyle01"/>
          <w:color w:val="0D0D0D"/>
        </w:rPr>
        <w:t>concepção</w:t>
      </w:r>
      <w:r w:rsidR="007A596F" w:rsidRPr="00872B9E">
        <w:rPr>
          <w:rStyle w:val="fontstyle01"/>
          <w:color w:val="0D0D0D"/>
        </w:rPr>
        <w:t>, composição e regulamentação desta componente curricular, no âmbito do curso de Geologia</w:t>
      </w:r>
      <w:r w:rsidR="000D18B9" w:rsidRPr="00872B9E">
        <w:rPr>
          <w:rStyle w:val="fontstyle01"/>
          <w:color w:val="0D0D0D"/>
        </w:rPr>
        <w:t xml:space="preserve"> da </w:t>
      </w:r>
      <w:proofErr w:type="spellStart"/>
      <w:r w:rsidR="000D18B9" w:rsidRPr="00872B9E">
        <w:rPr>
          <w:rStyle w:val="fontstyle01"/>
          <w:color w:val="0D0D0D"/>
        </w:rPr>
        <w:t>Ufopa</w:t>
      </w:r>
      <w:proofErr w:type="spellEnd"/>
      <w:r w:rsidR="007A596F" w:rsidRPr="00872B9E">
        <w:rPr>
          <w:rStyle w:val="fontstyle01"/>
          <w:color w:val="0D0D0D"/>
        </w:rPr>
        <w:t>, encontram-se sistematizadas no Regulamento de Atividades Complementares.</w:t>
      </w:r>
    </w:p>
    <w:bookmarkEnd w:id="0"/>
    <w:p w14:paraId="7FC04A28" w14:textId="77777777" w:rsidR="00EC333C" w:rsidRPr="00872B9E" w:rsidRDefault="00EC333C" w:rsidP="00175804">
      <w:pPr>
        <w:spacing w:after="126" w:line="360" w:lineRule="auto"/>
        <w:ind w:right="48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72B9E">
        <w:rPr>
          <w:rFonts w:ascii="Times New Roman" w:hAnsi="Times New Roman"/>
          <w:color w:val="0D0D0D"/>
          <w:sz w:val="24"/>
          <w:szCs w:val="24"/>
        </w:rPr>
        <w:t xml:space="preserve">A carga horária exigida 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no PPC do Curso 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para as atividades complementares corresponde a 195 horas. </w:t>
      </w:r>
      <w:r w:rsidR="00DC4A09" w:rsidRPr="00872B9E">
        <w:rPr>
          <w:rFonts w:ascii="Times New Roman" w:hAnsi="Times New Roman"/>
          <w:color w:val="0D0D0D"/>
          <w:sz w:val="24"/>
          <w:szCs w:val="24"/>
        </w:rPr>
        <w:t>A partir das componentes “Atividades Complementares I” e “</w:t>
      </w:r>
      <w:r w:rsidR="00212C6C" w:rsidRPr="00872B9E">
        <w:rPr>
          <w:rFonts w:ascii="Times New Roman" w:hAnsi="Times New Roman"/>
          <w:color w:val="0D0D0D"/>
          <w:sz w:val="24"/>
          <w:szCs w:val="24"/>
        </w:rPr>
        <w:t>Atividades Complementares I</w:t>
      </w:r>
      <w:r w:rsidR="00DC4A09" w:rsidRPr="00872B9E">
        <w:rPr>
          <w:rFonts w:ascii="Times New Roman" w:hAnsi="Times New Roman"/>
          <w:color w:val="0D0D0D"/>
          <w:sz w:val="24"/>
          <w:szCs w:val="24"/>
        </w:rPr>
        <w:t>I”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0D18B9" w:rsidRPr="00872B9E">
        <w:rPr>
          <w:rFonts w:ascii="Times New Roman" w:hAnsi="Times New Roman"/>
          <w:color w:val="0D0D0D"/>
          <w:sz w:val="24"/>
          <w:szCs w:val="24"/>
        </w:rPr>
        <w:t xml:space="preserve">as atividades desenvolvidas pelo discente 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>são c</w:t>
      </w:r>
      <w:r w:rsidRPr="00872B9E">
        <w:rPr>
          <w:rFonts w:ascii="Times New Roman" w:hAnsi="Times New Roman"/>
          <w:color w:val="0D0D0D"/>
          <w:sz w:val="24"/>
          <w:szCs w:val="24"/>
        </w:rPr>
        <w:t>reditadas no</w:t>
      </w:r>
      <w:r w:rsidR="00DC4A09" w:rsidRPr="00872B9E">
        <w:rPr>
          <w:rFonts w:ascii="Times New Roman" w:hAnsi="Times New Roman"/>
          <w:color w:val="0D0D0D"/>
          <w:sz w:val="24"/>
          <w:szCs w:val="24"/>
        </w:rPr>
        <w:t xml:space="preserve"> 4º e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 10º semestre, entretanto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>,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 devem ser desenvolvidas ao longo do curso, preferencialmente, a cada semestre. </w:t>
      </w:r>
    </w:p>
    <w:p w14:paraId="0EE9E7DB" w14:textId="77777777" w:rsidR="001830D7" w:rsidRPr="00872B9E" w:rsidRDefault="007A596F" w:rsidP="00175804">
      <w:pPr>
        <w:spacing w:after="126" w:line="360" w:lineRule="auto"/>
        <w:ind w:right="48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72B9E">
        <w:rPr>
          <w:rFonts w:ascii="Times New Roman" w:hAnsi="Times New Roman"/>
          <w:color w:val="0D0D0D"/>
          <w:sz w:val="24"/>
          <w:szCs w:val="24"/>
        </w:rPr>
        <w:t xml:space="preserve">Para cumprimento das atividades complementares os discentes podem desenvolver ações na </w:t>
      </w:r>
      <w:proofErr w:type="spellStart"/>
      <w:r w:rsidRPr="00872B9E">
        <w:rPr>
          <w:rFonts w:ascii="Times New Roman" w:hAnsi="Times New Roman"/>
          <w:color w:val="0D0D0D"/>
          <w:sz w:val="24"/>
          <w:szCs w:val="24"/>
        </w:rPr>
        <w:t>Ufopa</w:t>
      </w:r>
      <w:proofErr w:type="spellEnd"/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 ou em outras I</w:t>
      </w:r>
      <w:r w:rsidRPr="00872B9E">
        <w:rPr>
          <w:rFonts w:ascii="Times New Roman" w:hAnsi="Times New Roman"/>
          <w:color w:val="0D0D0D"/>
          <w:sz w:val="24"/>
          <w:szCs w:val="24"/>
        </w:rPr>
        <w:t>nstituições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 de ensino ou da sociedade civil ou do setor público ou do setor privado</w:t>
      </w:r>
      <w:r w:rsidR="00FA0E19" w:rsidRPr="00872B9E">
        <w:rPr>
          <w:rFonts w:ascii="Times New Roman" w:hAnsi="Times New Roman"/>
          <w:color w:val="0D0D0D"/>
          <w:sz w:val="24"/>
          <w:szCs w:val="24"/>
        </w:rPr>
        <w:t>, enfim, em diversos ambientes sociais, técnico-científicos ou profissionais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>. São previstas e incentivadas o desenvolvimento de atividades</w:t>
      </w:r>
      <w:r w:rsidR="00FA0E19" w:rsidRPr="00872B9E">
        <w:rPr>
          <w:rFonts w:ascii="Times New Roman" w:hAnsi="Times New Roman"/>
          <w:color w:val="0D0D0D"/>
          <w:sz w:val="24"/>
          <w:szCs w:val="24"/>
        </w:rPr>
        <w:t xml:space="preserve"> de ensino, pesquisa,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 extensão</w:t>
      </w:r>
      <w:r w:rsidR="00FA0E19" w:rsidRPr="00872B9E">
        <w:rPr>
          <w:rFonts w:ascii="Times New Roman" w:hAnsi="Times New Roman"/>
          <w:color w:val="0D0D0D"/>
          <w:sz w:val="24"/>
          <w:szCs w:val="24"/>
        </w:rPr>
        <w:t xml:space="preserve"> e inovação 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nas mais 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diversas 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áreas do conhecimento e </w:t>
      </w:r>
      <w:r w:rsidR="007F1492" w:rsidRPr="00872B9E">
        <w:rPr>
          <w:rFonts w:ascii="Times New Roman" w:hAnsi="Times New Roman"/>
          <w:color w:val="0D0D0D"/>
          <w:sz w:val="24"/>
          <w:szCs w:val="24"/>
        </w:rPr>
        <w:t xml:space="preserve">da 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>atuação humana, incluindo experiências de trabalho, estágios não obrigatórios, extensão universitária, iniciação científica, participação em eventos técnico-científicos, publicações científicas, programas de monitoria e tutoria, disciplinas de outr</w:t>
      </w:r>
      <w:r w:rsidR="00FA0E19" w:rsidRPr="00872B9E">
        <w:rPr>
          <w:rFonts w:ascii="Times New Roman" w:hAnsi="Times New Roman"/>
          <w:color w:val="0D0D0D"/>
          <w:sz w:val="24"/>
          <w:szCs w:val="24"/>
        </w:rPr>
        <w:t>os cursos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, representação discente em comissões e comitês, participação em </w:t>
      </w:r>
      <w:r w:rsidR="00FA0E19" w:rsidRPr="00872B9E">
        <w:rPr>
          <w:rFonts w:ascii="Times New Roman" w:hAnsi="Times New Roman"/>
          <w:color w:val="0D0D0D"/>
          <w:sz w:val="24"/>
          <w:szCs w:val="24"/>
        </w:rPr>
        <w:t xml:space="preserve">entidades estudantis, 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>empresas juniores, incubadoras de empresas ou outras atividades de empreendedorismo e inovação,</w:t>
      </w:r>
      <w:r w:rsidR="00FA0E19" w:rsidRPr="00872B9E">
        <w:rPr>
          <w:rFonts w:ascii="Times New Roman" w:hAnsi="Times New Roman"/>
          <w:color w:val="0D0D0D"/>
          <w:sz w:val="24"/>
          <w:szCs w:val="24"/>
        </w:rPr>
        <w:t xml:space="preserve"> dentre outras.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3E7071D5" w14:textId="77777777" w:rsidR="00EC333C" w:rsidRPr="00872B9E" w:rsidRDefault="008D0CF9" w:rsidP="00175804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72B9E">
        <w:rPr>
          <w:rFonts w:ascii="Times New Roman" w:hAnsi="Times New Roman"/>
          <w:color w:val="0D0D0D"/>
          <w:sz w:val="24"/>
          <w:szCs w:val="24"/>
        </w:rPr>
        <w:t xml:space="preserve">Considerando a organização curricular do curso, </w:t>
      </w:r>
      <w:r w:rsidR="006633DF" w:rsidRPr="00872B9E">
        <w:rPr>
          <w:rFonts w:ascii="Times New Roman" w:hAnsi="Times New Roman"/>
          <w:color w:val="0D0D0D"/>
          <w:sz w:val="24"/>
          <w:szCs w:val="24"/>
        </w:rPr>
        <w:t xml:space="preserve">incentiva-se e 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oferta-se aos discentes a possibilidade de desenvolvimento das </w:t>
      </w:r>
      <w:r w:rsidR="001830D7" w:rsidRPr="00872B9E">
        <w:rPr>
          <w:rFonts w:ascii="Times New Roman" w:hAnsi="Times New Roman"/>
          <w:color w:val="0D0D0D"/>
          <w:sz w:val="24"/>
          <w:szCs w:val="24"/>
        </w:rPr>
        <w:t>Atividades Complementares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, preferencialmente, nas seguintes áreas:  Geociências; Direitos Humanos e Justiça; Cultura e História Afro-brasileira; Cultura Indígena; </w:t>
      </w:r>
      <w:r w:rsidR="007F1492" w:rsidRPr="00872B9E">
        <w:rPr>
          <w:rFonts w:ascii="Times New Roman" w:hAnsi="Times New Roman"/>
          <w:color w:val="0D0D0D"/>
          <w:sz w:val="24"/>
          <w:szCs w:val="24"/>
        </w:rPr>
        <w:t xml:space="preserve">Educação para as relações Étnico-racial; 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>Meio Ambiente e Desenvolvimento Sustentável;</w:t>
      </w:r>
      <w:r w:rsidR="007F1492" w:rsidRPr="00872B9E">
        <w:rPr>
          <w:rFonts w:ascii="Times New Roman" w:hAnsi="Times New Roman"/>
          <w:color w:val="0D0D0D"/>
          <w:sz w:val="24"/>
          <w:szCs w:val="24"/>
        </w:rPr>
        <w:t xml:space="preserve"> Direitos Humanos;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 Esporte; 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lastRenderedPageBreak/>
        <w:t>Artes e Cultura; Educação e saúde; Comunicação; Tecnologias e Produção</w:t>
      </w:r>
      <w:r w:rsidR="007F1492" w:rsidRPr="00872B9E">
        <w:rPr>
          <w:rFonts w:ascii="Times New Roman" w:hAnsi="Times New Roman"/>
          <w:color w:val="0D0D0D"/>
          <w:sz w:val="24"/>
          <w:szCs w:val="24"/>
        </w:rPr>
        <w:t>; Empreendedorismo e Inovação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; e Trabalho. </w:t>
      </w:r>
    </w:p>
    <w:p w14:paraId="7ACBD7D6" w14:textId="77777777" w:rsidR="00EC333C" w:rsidRPr="00872B9E" w:rsidRDefault="008D0CF9" w:rsidP="00175804">
      <w:pPr>
        <w:spacing w:after="126" w:line="360" w:lineRule="auto"/>
        <w:ind w:right="48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72B9E">
        <w:rPr>
          <w:rFonts w:ascii="Times New Roman" w:hAnsi="Times New Roman"/>
          <w:color w:val="0D0D0D"/>
          <w:sz w:val="24"/>
          <w:szCs w:val="24"/>
        </w:rPr>
        <w:t>Para o processo de avaliação t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>oda atividade complementar deve ser comprovada por documento oficial da Instituição promotora da atividade, tais como:  declaração, atestado e/ou certificado, nesta comprovação devem constar o tipo de atividade, a data e o valor da carga horária. A pontuação das atividades segu</w:t>
      </w:r>
      <w:r w:rsidRPr="00872B9E">
        <w:rPr>
          <w:rFonts w:ascii="Times New Roman" w:hAnsi="Times New Roman"/>
          <w:color w:val="0D0D0D"/>
          <w:sz w:val="24"/>
          <w:szCs w:val="24"/>
        </w:rPr>
        <w:t>e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 uma tabela específica de distribuição de horas</w:t>
      </w:r>
      <w:r w:rsidRPr="00872B9E">
        <w:rPr>
          <w:rFonts w:ascii="Times New Roman" w:hAnsi="Times New Roman"/>
          <w:color w:val="0D0D0D"/>
          <w:sz w:val="24"/>
          <w:szCs w:val="24"/>
        </w:rPr>
        <w:t>, na qual constam as categorias: ensino, pesquisa, extensão e outras atividades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5D04B7" w:rsidRPr="00872B9E">
        <w:rPr>
          <w:rFonts w:ascii="Times New Roman" w:hAnsi="Times New Roman"/>
          <w:color w:val="0D0D0D"/>
          <w:sz w:val="24"/>
          <w:szCs w:val="24"/>
        </w:rPr>
        <w:t xml:space="preserve">além da organização temática, 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>descrita</w:t>
      </w:r>
      <w:r w:rsidR="005D04B7" w:rsidRPr="00872B9E">
        <w:rPr>
          <w:rFonts w:ascii="Times New Roman" w:hAnsi="Times New Roman"/>
          <w:color w:val="0D0D0D"/>
          <w:sz w:val="24"/>
          <w:szCs w:val="24"/>
        </w:rPr>
        <w:t>s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 no </w:t>
      </w:r>
      <w:r w:rsidRPr="00872B9E">
        <w:rPr>
          <w:rFonts w:ascii="Times New Roman" w:hAnsi="Times New Roman"/>
          <w:color w:val="0D0D0D"/>
          <w:sz w:val="24"/>
          <w:szCs w:val="24"/>
        </w:rPr>
        <w:t xml:space="preserve">anexo I do Regulamento das Atividades </w:t>
      </w:r>
      <w:r w:rsidR="00EC333C" w:rsidRPr="00872B9E">
        <w:rPr>
          <w:rFonts w:ascii="Times New Roman" w:hAnsi="Times New Roman"/>
          <w:color w:val="0D0D0D"/>
          <w:sz w:val="24"/>
          <w:szCs w:val="24"/>
        </w:rPr>
        <w:t xml:space="preserve">I. </w:t>
      </w:r>
    </w:p>
    <w:p w14:paraId="79241650" w14:textId="77777777" w:rsidR="00EC333C" w:rsidRPr="00A77186" w:rsidRDefault="003B0449" w:rsidP="00175804">
      <w:pPr>
        <w:spacing w:after="133" w:line="360" w:lineRule="auto"/>
        <w:ind w:right="48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B9E">
        <w:rPr>
          <w:rFonts w:ascii="Times New Roman" w:hAnsi="Times New Roman"/>
          <w:color w:val="0D0D0D"/>
          <w:sz w:val="24"/>
          <w:szCs w:val="24"/>
        </w:rPr>
        <w:t xml:space="preserve">A gestão e acompanhamento das atividades complementares é exercida pela </w:t>
      </w:r>
      <w:r w:rsidRPr="00A77186">
        <w:rPr>
          <w:rFonts w:ascii="Times New Roman" w:hAnsi="Times New Roman"/>
          <w:color w:val="000000" w:themeColor="text1"/>
          <w:sz w:val="24"/>
          <w:szCs w:val="24"/>
        </w:rPr>
        <w:t>ação colaborativa entre a coordenação pedagógica, os orientadores de TCC e os discentes. Sendo</w:t>
      </w:r>
      <w:r w:rsidR="00EC333C" w:rsidRPr="00A77186">
        <w:rPr>
          <w:rFonts w:ascii="Times New Roman" w:hAnsi="Times New Roman"/>
          <w:color w:val="000000" w:themeColor="text1"/>
          <w:sz w:val="24"/>
          <w:szCs w:val="24"/>
        </w:rPr>
        <w:t xml:space="preserve"> de responsabilidade do discente buscar, desenvolver e fazer o controle de suas atividades complementares ao longo de cada semestre, para serem creditadas </w:t>
      </w:r>
      <w:r w:rsidR="00212C6C" w:rsidRPr="00A7718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EC333C" w:rsidRPr="00A77186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212C6C" w:rsidRPr="00A77186">
        <w:rPr>
          <w:rFonts w:ascii="Times New Roman" w:hAnsi="Times New Roman"/>
          <w:color w:val="000000" w:themeColor="text1"/>
          <w:sz w:val="24"/>
          <w:szCs w:val="24"/>
        </w:rPr>
        <w:t xml:space="preserve">4º e </w:t>
      </w:r>
      <w:r w:rsidR="00EC333C" w:rsidRPr="00A77186">
        <w:rPr>
          <w:rFonts w:ascii="Times New Roman" w:hAnsi="Times New Roman"/>
          <w:color w:val="000000" w:themeColor="text1"/>
          <w:sz w:val="24"/>
          <w:szCs w:val="24"/>
        </w:rPr>
        <w:t xml:space="preserve">10º semestre. </w:t>
      </w:r>
      <w:r w:rsidRPr="00A77186">
        <w:rPr>
          <w:rFonts w:ascii="Times New Roman" w:hAnsi="Times New Roman"/>
          <w:color w:val="000000" w:themeColor="text1"/>
          <w:sz w:val="24"/>
          <w:szCs w:val="24"/>
        </w:rPr>
        <w:t xml:space="preserve">Cabendo a coordenação pedagógica e aos </w:t>
      </w:r>
      <w:r w:rsidR="003E6FF2" w:rsidRPr="00A77186">
        <w:rPr>
          <w:rFonts w:ascii="Times New Roman" w:hAnsi="Times New Roman"/>
          <w:color w:val="000000" w:themeColor="text1"/>
          <w:sz w:val="24"/>
          <w:szCs w:val="24"/>
        </w:rPr>
        <w:t xml:space="preserve">Docentes </w:t>
      </w:r>
      <w:r w:rsidRPr="00A77186">
        <w:rPr>
          <w:rFonts w:ascii="Times New Roman" w:hAnsi="Times New Roman"/>
          <w:color w:val="000000" w:themeColor="text1"/>
          <w:sz w:val="24"/>
          <w:szCs w:val="24"/>
        </w:rPr>
        <w:t>orientadores a orientação e o acompanhamento</w:t>
      </w:r>
      <w:r w:rsidR="003E6FF2" w:rsidRPr="00A77186">
        <w:rPr>
          <w:rFonts w:ascii="Times New Roman" w:hAnsi="Times New Roman"/>
          <w:color w:val="000000" w:themeColor="text1"/>
          <w:sz w:val="24"/>
          <w:szCs w:val="24"/>
        </w:rPr>
        <w:t xml:space="preserve"> do discente</w:t>
      </w:r>
      <w:r w:rsidRPr="00A771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78F8B7" w14:textId="77777777" w:rsidR="00CF4855" w:rsidRPr="00A77186" w:rsidRDefault="00CF4855" w:rsidP="00175804">
      <w:pPr>
        <w:spacing w:after="133" w:line="360" w:lineRule="auto"/>
        <w:ind w:right="48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186">
        <w:rPr>
          <w:rFonts w:ascii="Times New Roman" w:hAnsi="Times New Roman"/>
          <w:color w:val="000000" w:themeColor="text1"/>
          <w:sz w:val="24"/>
          <w:szCs w:val="24"/>
        </w:rPr>
        <w:t>As comprovações das atividades complementares, impressas ou digitalizadas, são entregues, via requerimento na Coordenadoria Acadêmica do IEG. A análise e avalição é realizada por uma banca examinadora constituída por docentes e técnicos em assuntos educacionais.</w:t>
      </w:r>
    </w:p>
    <w:p w14:paraId="53EA75D9" w14:textId="77777777" w:rsidR="00EC333C" w:rsidRPr="00EC333C" w:rsidRDefault="00EC333C" w:rsidP="0017580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EC333C" w:rsidRPr="00EC333C" w:rsidSect="001D0DD4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46C7" w14:textId="77777777" w:rsidR="00872B9E" w:rsidRDefault="00872B9E" w:rsidP="005316BF">
      <w:pPr>
        <w:spacing w:after="0" w:line="240" w:lineRule="auto"/>
      </w:pPr>
      <w:r>
        <w:separator/>
      </w:r>
    </w:p>
  </w:endnote>
  <w:endnote w:type="continuationSeparator" w:id="0">
    <w:p w14:paraId="69E0626B" w14:textId="77777777" w:rsidR="00872B9E" w:rsidRDefault="00872B9E" w:rsidP="005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D8ED" w14:textId="77777777" w:rsidR="00872B9E" w:rsidRDefault="00872B9E" w:rsidP="005316BF">
      <w:pPr>
        <w:spacing w:after="0" w:line="240" w:lineRule="auto"/>
      </w:pPr>
      <w:r>
        <w:separator/>
      </w:r>
    </w:p>
  </w:footnote>
  <w:footnote w:type="continuationSeparator" w:id="0">
    <w:p w14:paraId="22E7ECC3" w14:textId="77777777" w:rsidR="00872B9E" w:rsidRDefault="00872B9E" w:rsidP="0053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39D"/>
      </v:shape>
    </w:pict>
  </w:numPicBullet>
  <w:abstractNum w:abstractNumId="0" w15:restartNumberingAfterBreak="0">
    <w:nsid w:val="0E522340"/>
    <w:multiLevelType w:val="multilevel"/>
    <w:tmpl w:val="1C02F504"/>
    <w:lvl w:ilvl="0">
      <w:start w:val="1"/>
      <w:numFmt w:val="upperRoman"/>
      <w:lvlText w:val="%1."/>
      <w:lvlJc w:val="left"/>
      <w:pPr>
        <w:ind w:left="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63503101"/>
    <w:multiLevelType w:val="hybridMultilevel"/>
    <w:tmpl w:val="7DFE01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75910">
    <w:abstractNumId w:val="1"/>
  </w:num>
  <w:num w:numId="2" w16cid:durableId="154914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6BF"/>
    <w:rsid w:val="000442C8"/>
    <w:rsid w:val="0006589D"/>
    <w:rsid w:val="000818A9"/>
    <w:rsid w:val="000839B7"/>
    <w:rsid w:val="000B1792"/>
    <w:rsid w:val="000B2EE4"/>
    <w:rsid w:val="000D18B9"/>
    <w:rsid w:val="001309F8"/>
    <w:rsid w:val="00175804"/>
    <w:rsid w:val="001830D7"/>
    <w:rsid w:val="001D0DD4"/>
    <w:rsid w:val="001D5190"/>
    <w:rsid w:val="00212C6C"/>
    <w:rsid w:val="00220968"/>
    <w:rsid w:val="00244277"/>
    <w:rsid w:val="00272C3E"/>
    <w:rsid w:val="002C632D"/>
    <w:rsid w:val="00340809"/>
    <w:rsid w:val="003421FF"/>
    <w:rsid w:val="003B0449"/>
    <w:rsid w:val="003B71F8"/>
    <w:rsid w:val="003D1F8C"/>
    <w:rsid w:val="003D7764"/>
    <w:rsid w:val="003E6FF2"/>
    <w:rsid w:val="003F5191"/>
    <w:rsid w:val="00402F33"/>
    <w:rsid w:val="0041300E"/>
    <w:rsid w:val="00415507"/>
    <w:rsid w:val="0043735C"/>
    <w:rsid w:val="0047511A"/>
    <w:rsid w:val="00484132"/>
    <w:rsid w:val="00496FAC"/>
    <w:rsid w:val="004A3517"/>
    <w:rsid w:val="004F4D40"/>
    <w:rsid w:val="005316BF"/>
    <w:rsid w:val="00584373"/>
    <w:rsid w:val="0059492D"/>
    <w:rsid w:val="00596E02"/>
    <w:rsid w:val="005A26F4"/>
    <w:rsid w:val="005A6904"/>
    <w:rsid w:val="005D04B7"/>
    <w:rsid w:val="005D5513"/>
    <w:rsid w:val="005D5569"/>
    <w:rsid w:val="005F6006"/>
    <w:rsid w:val="00621C9A"/>
    <w:rsid w:val="006633DF"/>
    <w:rsid w:val="006B33F2"/>
    <w:rsid w:val="006E636C"/>
    <w:rsid w:val="0070144F"/>
    <w:rsid w:val="007374A6"/>
    <w:rsid w:val="0076094F"/>
    <w:rsid w:val="007A596F"/>
    <w:rsid w:val="007D6621"/>
    <w:rsid w:val="007F1492"/>
    <w:rsid w:val="0081093F"/>
    <w:rsid w:val="00850B98"/>
    <w:rsid w:val="0086783E"/>
    <w:rsid w:val="00872B9E"/>
    <w:rsid w:val="008C72C0"/>
    <w:rsid w:val="008D0CF9"/>
    <w:rsid w:val="008E3361"/>
    <w:rsid w:val="00915737"/>
    <w:rsid w:val="009403B5"/>
    <w:rsid w:val="009C14DE"/>
    <w:rsid w:val="009E6E71"/>
    <w:rsid w:val="009F6E09"/>
    <w:rsid w:val="00A43C86"/>
    <w:rsid w:val="00A64744"/>
    <w:rsid w:val="00A70A51"/>
    <w:rsid w:val="00A77186"/>
    <w:rsid w:val="00AE1959"/>
    <w:rsid w:val="00AE290E"/>
    <w:rsid w:val="00B46ED0"/>
    <w:rsid w:val="00B561D8"/>
    <w:rsid w:val="00B61598"/>
    <w:rsid w:val="00B84148"/>
    <w:rsid w:val="00B968A1"/>
    <w:rsid w:val="00BD7782"/>
    <w:rsid w:val="00BF0464"/>
    <w:rsid w:val="00BF3057"/>
    <w:rsid w:val="00BF3111"/>
    <w:rsid w:val="00C25C8E"/>
    <w:rsid w:val="00C34040"/>
    <w:rsid w:val="00C61B0A"/>
    <w:rsid w:val="00C934CB"/>
    <w:rsid w:val="00CC56E7"/>
    <w:rsid w:val="00CF4855"/>
    <w:rsid w:val="00D04DB1"/>
    <w:rsid w:val="00D35E3D"/>
    <w:rsid w:val="00D553AF"/>
    <w:rsid w:val="00D66263"/>
    <w:rsid w:val="00D754B8"/>
    <w:rsid w:val="00DA152F"/>
    <w:rsid w:val="00DC4A09"/>
    <w:rsid w:val="00E3605A"/>
    <w:rsid w:val="00EB04A0"/>
    <w:rsid w:val="00EC333C"/>
    <w:rsid w:val="00ED67BE"/>
    <w:rsid w:val="00EF771F"/>
    <w:rsid w:val="00F04A52"/>
    <w:rsid w:val="00F251CE"/>
    <w:rsid w:val="00F6316E"/>
    <w:rsid w:val="00F66D57"/>
    <w:rsid w:val="00F81CDC"/>
    <w:rsid w:val="00FA0E19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18620"/>
  <w15:chartTrackingRefBased/>
  <w15:docId w15:val="{C2C49030-00D0-41BD-9C75-E0780A1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EC333C"/>
    <w:pPr>
      <w:keepNext/>
      <w:keepLines/>
      <w:spacing w:after="13" w:line="247" w:lineRule="auto"/>
      <w:ind w:left="229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6BF"/>
    <w:pPr>
      <w:ind w:left="720"/>
      <w:contextualSpacing/>
    </w:pPr>
  </w:style>
  <w:style w:type="table" w:styleId="Tabelacomgrade">
    <w:name w:val="Table Grid"/>
    <w:basedOn w:val="Tabelanormal"/>
    <w:uiPriority w:val="59"/>
    <w:rsid w:val="005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1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16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316BF"/>
    <w:rPr>
      <w:vertAlign w:val="superscript"/>
    </w:rPr>
  </w:style>
  <w:style w:type="paragraph" w:styleId="Cabealho">
    <w:name w:val="header"/>
    <w:basedOn w:val="Normal"/>
    <w:link w:val="CabealhoChar"/>
    <w:rsid w:val="00A70A51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rsid w:val="00A70A51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D35E3D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tulo1Char">
    <w:name w:val="Título 1 Char"/>
    <w:link w:val="Ttulo1"/>
    <w:uiPriority w:val="9"/>
    <w:qFormat/>
    <w:rsid w:val="00EC333C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fontstyle01">
    <w:name w:val="fontstyle01"/>
    <w:rsid w:val="00EC33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3194</Characters>
  <Application>Microsoft Office Word</Application>
  <DocSecurity>0</DocSecurity>
  <Lines>51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Martins</cp:lastModifiedBy>
  <cp:revision>5</cp:revision>
  <dcterms:created xsi:type="dcterms:W3CDTF">2023-08-21T01:45:00Z</dcterms:created>
  <dcterms:modified xsi:type="dcterms:W3CDTF">2023-08-21T17:20:00Z</dcterms:modified>
</cp:coreProperties>
</file>