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sz w:val="24"/>
          <w:szCs w:val="24"/>
        </w:rPr>
        <w:t>CHAMADA PÚBLICA PPGSAQ/UFOPA Nº 01/2019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sz w:val="24"/>
          <w:szCs w:val="24"/>
        </w:rPr>
      </w:r>
    </w:p>
    <w:p>
      <w:pPr>
        <w:pStyle w:val="style0"/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 xml:space="preserve"> </w:t>
      </w:r>
    </w:p>
    <w:p>
      <w:pPr>
        <w:pStyle w:val="style0"/>
        <w:jc w:val="center"/>
      </w:pPr>
      <w:r>
        <w:rPr>
          <w:rFonts w:cs="Times New Roman"/>
          <w:b/>
          <w:sz w:val="24"/>
          <w:szCs w:val="24"/>
        </w:rPr>
        <w:t>ANEXO II</w:t>
      </w:r>
    </w:p>
    <w:p>
      <w:pPr>
        <w:pStyle w:val="style0"/>
        <w:jc w:val="center"/>
      </w:pPr>
      <w:r>
        <w:rPr>
          <w:rFonts w:cs="Times New Roman"/>
          <w:b/>
          <w:sz w:val="24"/>
          <w:szCs w:val="24"/>
        </w:rPr>
        <w:t>DOCUMENTAÇÃO EXIGIDA NO ATO DA INSCRIÇÃO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</w:r>
    </w:p>
    <w:tbl>
      <w:tblPr>
        <w:jc w:val="left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13"/>
      </w:tblGrid>
      <w:tr>
        <w:trPr>
          <w:cantSplit w:val="false"/>
        </w:trPr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9213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b/>
                <w:sz w:val="24"/>
                <w:szCs w:val="24"/>
              </w:rPr>
              <w:t>Formulário de Solicitação de Credenciamento (</w:t>
            </w:r>
            <w:bookmarkStart w:id="0" w:name="__UnoMark__113_671967757"/>
            <w:bookmarkEnd w:id="0"/>
            <w:r>
              <w:rPr>
                <w:rFonts w:cs="Times New Roman"/>
                <w:sz w:val="24"/>
                <w:szCs w:val="24"/>
              </w:rPr>
              <w:t>Anexo II) desta chamada.</w:t>
            </w:r>
          </w:p>
        </w:tc>
      </w:tr>
      <w:tr>
        <w:trPr>
          <w:cantSplit w:val="false"/>
        </w:trPr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9213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" w:name="__UnoMark__114_671967757"/>
            <w:bookmarkEnd w:id="1"/>
            <w:r>
              <w:rPr>
                <w:rFonts w:cs="Times New Roman"/>
                <w:sz w:val="24"/>
                <w:szCs w:val="24"/>
              </w:rPr>
              <w:t xml:space="preserve">2. Cópia do </w:t>
            </w:r>
            <w:r>
              <w:rPr>
                <w:rFonts w:cs="Times New Roman"/>
                <w:b/>
                <w:sz w:val="24"/>
                <w:szCs w:val="24"/>
              </w:rPr>
              <w:t>diploma de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doutorado.</w:t>
            </w:r>
            <w:bookmarkStart w:id="2" w:name="__UnoMark__115_671967757"/>
            <w:bookmarkEnd w:id="2"/>
            <w:r>
              <w:rPr>
                <w:rFonts w:cs="Times New Roman"/>
                <w:sz w:val="24"/>
                <w:szCs w:val="24"/>
              </w:rPr>
              <w:t xml:space="preserve"> Não serão aceitas: atas de defesa, declarações de conclusão ou data de provável conclusão do curso de doutorado.</w:t>
            </w:r>
          </w:p>
        </w:tc>
      </w:tr>
      <w:tr>
        <w:trPr>
          <w:cantSplit w:val="false"/>
        </w:trPr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9213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" w:name="__UnoMark__116_671967757"/>
            <w:bookmarkEnd w:id="3"/>
            <w:r>
              <w:rPr>
                <w:rFonts w:cs="Times New Roman"/>
                <w:sz w:val="24"/>
                <w:szCs w:val="24"/>
              </w:rPr>
              <w:t xml:space="preserve">3. Cópia de </w:t>
            </w:r>
            <w:r>
              <w:rPr>
                <w:rFonts w:cs="Times New Roman"/>
                <w:b/>
                <w:sz w:val="24"/>
                <w:szCs w:val="24"/>
              </w:rPr>
              <w:t xml:space="preserve">currículo </w:t>
            </w:r>
            <w:r>
              <w:rPr>
                <w:rFonts w:cs="Times New Roman"/>
                <w:b/>
                <w:i/>
                <w:sz w:val="24"/>
                <w:szCs w:val="24"/>
              </w:rPr>
              <w:t>Lattes</w:t>
            </w:r>
            <w:r>
              <w:rPr>
                <w:rFonts w:cs="Times New Roman"/>
                <w:sz w:val="24"/>
                <w:szCs w:val="24"/>
              </w:rPr>
              <w:t xml:space="preserve"> devidamente atualizado,  com cópias de documentos que comprovem o atendimento aos parâmetros relevantes</w:t>
            </w:r>
            <w:r>
              <w:rPr>
                <w:rFonts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para</w:t>
            </w:r>
            <w:r>
              <w:rPr>
                <w:rFonts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pacing w:val="-26"/>
                <w:sz w:val="24"/>
                <w:szCs w:val="24"/>
              </w:rPr>
              <w:t xml:space="preserve"> Á</w:t>
            </w:r>
            <w:r>
              <w:rPr>
                <w:rFonts w:cs="Times New Roman"/>
                <w:sz w:val="24"/>
                <w:szCs w:val="24"/>
              </w:rPr>
              <w:t>rea</w:t>
            </w:r>
            <w:r>
              <w:rPr>
                <w:rFonts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Interdisciplinar da</w:t>
            </w:r>
            <w:r>
              <w:rPr>
                <w:rFonts w:cs="Times New Roman"/>
                <w:spacing w:val="-24"/>
                <w:sz w:val="24"/>
                <w:szCs w:val="24"/>
              </w:rPr>
              <w:t xml:space="preserve"> </w:t>
            </w:r>
            <w:bookmarkStart w:id="4" w:name="__UnoMark__117_671967757"/>
            <w:bookmarkEnd w:id="4"/>
            <w:r>
              <w:rPr>
                <w:rFonts w:cs="Times New Roman"/>
                <w:sz w:val="24"/>
                <w:szCs w:val="24"/>
              </w:rPr>
              <w:t xml:space="preserve">CAPES nos últimos três (3) anos. </w:t>
            </w:r>
          </w:p>
        </w:tc>
      </w:tr>
      <w:tr>
        <w:trPr>
          <w:cantSplit w:val="false"/>
        </w:trPr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9213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" w:name="__UnoMark__118_671967757"/>
            <w:bookmarkEnd w:id="5"/>
            <w:r>
              <w:rPr>
                <w:rFonts w:cs="Times New Roman"/>
                <w:sz w:val="24"/>
                <w:szCs w:val="24"/>
              </w:rPr>
              <w:t xml:space="preserve">4. </w:t>
            </w:r>
            <w:r>
              <w:rPr>
                <w:rFonts w:cs="Times New Roman"/>
                <w:b/>
                <w:sz w:val="24"/>
                <w:szCs w:val="24"/>
              </w:rPr>
              <w:t>Ficha de a</w:t>
            </w:r>
            <w:r>
              <w:rPr>
                <w:rFonts w:cs="Times New Roman"/>
                <w:b/>
              </w:rPr>
              <w:t>tividades de formação e produção do docente</w:t>
            </w:r>
            <w:r>
              <w:rPr>
                <w:rFonts w:cs="Times New Roman"/>
              </w:rPr>
              <w:t xml:space="preserve"> devidamente preenchida </w:t>
            </w:r>
            <w:bookmarkStart w:id="6" w:name="__UnoMark__119_671967757"/>
            <w:bookmarkEnd w:id="6"/>
            <w:r>
              <w:rPr>
                <w:rFonts w:cs="Times New Roman"/>
                <w:sz w:val="24"/>
                <w:szCs w:val="24"/>
              </w:rPr>
              <w:t>(anexo II).</w:t>
            </w:r>
          </w:p>
        </w:tc>
      </w:tr>
      <w:tr>
        <w:trPr>
          <w:cantSplit w:val="false"/>
        </w:trPr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9213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" w:name="__UnoMark__120_671967757"/>
            <w:bookmarkEnd w:id="7"/>
            <w:r>
              <w:rPr>
                <w:rFonts w:cs="Times New Roman"/>
                <w:sz w:val="24"/>
                <w:szCs w:val="24"/>
              </w:rPr>
              <w:t xml:space="preserve">5. Preenchimento do </w:t>
            </w:r>
            <w:r>
              <w:rPr>
                <w:rFonts w:cs="Times New Roman"/>
                <w:b/>
                <w:sz w:val="24"/>
                <w:szCs w:val="24"/>
              </w:rPr>
              <w:t>modelo de pontuação artigos</w:t>
            </w:r>
            <w:bookmarkStart w:id="8" w:name="__UnoMark__121_671967757"/>
            <w:bookmarkEnd w:id="8"/>
            <w:r>
              <w:rPr>
                <w:rFonts w:cs="Times New Roman"/>
                <w:sz w:val="24"/>
                <w:szCs w:val="24"/>
              </w:rPr>
              <w:t xml:space="preserve"> (anexo III).</w:t>
            </w:r>
          </w:p>
        </w:tc>
      </w:tr>
      <w:tr>
        <w:trPr>
          <w:cantSplit w:val="false"/>
        </w:trPr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9213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" w:name="__UnoMark__122_671967757"/>
            <w:bookmarkEnd w:id="9"/>
            <w:r>
              <w:rPr>
                <w:rFonts w:cs="Times New Roman"/>
                <w:sz w:val="24"/>
                <w:szCs w:val="24"/>
              </w:rPr>
              <w:t>6. Plano de Trabalho do</w:t>
            </w:r>
            <w:r>
              <w:rPr>
                <w:rFonts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docente</w:t>
            </w:r>
            <w:r>
              <w:rPr>
                <w:rFonts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para</w:t>
            </w:r>
            <w:r>
              <w:rPr>
                <w:rFonts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guiar</w:t>
            </w:r>
            <w:r>
              <w:rPr>
                <w:rFonts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sua</w:t>
            </w:r>
            <w:r>
              <w:rPr>
                <w:rFonts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participação</w:t>
            </w:r>
            <w:r>
              <w:rPr>
                <w:rFonts w:cs="Times New Roman"/>
                <w:spacing w:val="-25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no PPGSAQ (</w:t>
            </w:r>
            <w:r>
              <w:rPr>
                <w:rFonts w:cs="Times New Roman"/>
                <w:b/>
                <w:sz w:val="24"/>
                <w:szCs w:val="24"/>
              </w:rPr>
              <w:t>Anexo</w:t>
            </w:r>
            <w:r>
              <w:rPr>
                <w:rFonts w:cs="Times New Roman"/>
                <w:b/>
                <w:spacing w:val="-21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), </w:t>
            </w:r>
            <w:r>
              <w:rPr>
                <w:rStyle w:val="style18"/>
              </w:rPr>
              <w:t xml:space="preserve">em conformidade com a linha de pesquisa requerida, bem como manifestar qual(is) disciplina(s) obrigatória(s) e optativa(s) no percurso acadêmico do programa virá a contribuir </w:t>
            </w:r>
            <w:bookmarkStart w:id="10" w:name="__UnoMark__123_671967757"/>
            <w:bookmarkEnd w:id="10"/>
            <w:r>
              <w:rPr>
                <w:rStyle w:val="style18"/>
                <w:b/>
              </w:rPr>
              <w:t>(Anexo VI)</w:t>
            </w:r>
          </w:p>
        </w:tc>
      </w:tr>
      <w:tr>
        <w:trPr>
          <w:cantSplit w:val="false"/>
        </w:trPr>
        <w:tc>
          <w:tcPr>
            <w:tcW w:type="dxa" w:w="9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9213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" w:name="__UnoMark__124_671967757"/>
            <w:bookmarkEnd w:id="11"/>
            <w:r>
              <w:rPr>
                <w:rFonts w:cs="Times New Roman"/>
                <w:sz w:val="24"/>
                <w:szCs w:val="24"/>
              </w:rPr>
              <w:t xml:space="preserve">7. </w:t>
            </w:r>
            <w:r>
              <w:rPr>
                <w:rFonts w:cs="Times New Roman"/>
                <w:b/>
                <w:sz w:val="24"/>
                <w:szCs w:val="24"/>
              </w:rPr>
              <w:t>Carta de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exclusividade</w:t>
            </w:r>
            <w:r>
              <w:rPr>
                <w:rFonts w:cs="Times New Roman"/>
                <w:sz w:val="24"/>
                <w:szCs w:val="24"/>
              </w:rPr>
              <w:t xml:space="preserve"> para o programa de Pós-graduação em Sociedade, Ambiente e Qualidade de Vida– PPGSAQ, </w:t>
            </w:r>
            <w:r>
              <w:rPr>
                <w:rFonts w:cs="Times New Roman"/>
                <w:b/>
                <w:sz w:val="24"/>
                <w:szCs w:val="24"/>
              </w:rPr>
              <w:t>no caso de proponentes com interesse no perfil de Docente Permanente Exclusivo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>
      <w:pPr>
        <w:pStyle w:val="style0"/>
        <w:pageBreakBefore/>
        <w:jc w:val="center"/>
      </w:pPr>
      <w:r>
        <w:rPr>
          <w:rFonts w:cs="Times New Roman"/>
          <w:b/>
          <w:sz w:val="20"/>
          <w:szCs w:val="20"/>
        </w:rPr>
        <w:t>ANEXO III</w:t>
      </w:r>
    </w:p>
    <w:p>
      <w:pPr>
        <w:pStyle w:val="style0"/>
        <w:shd w:fill="D9D9D9" w:val="clear"/>
        <w:tabs>
          <w:tab w:leader="none" w:pos="4889" w:val="center"/>
        </w:tabs>
        <w:ind w:hanging="0" w:left="0" w:right="-99"/>
        <w:jc w:val="center"/>
      </w:pPr>
      <w:r>
        <w:rPr>
          <w:rFonts w:cs="Times New Roman"/>
          <w:b/>
          <w:sz w:val="24"/>
          <w:szCs w:val="24"/>
        </w:rPr>
        <w:t>FORMULÁRIO DE SOLICITAÇÃO DE CREDENCIAMENTO</w:t>
      </w:r>
    </w:p>
    <w:tbl>
      <w:tblPr>
        <w:jc w:val="center"/>
        <w:tblInd w:type="dxa" w:w="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1"/>
      </w:tblGrid>
      <w:tr>
        <w:trPr>
          <w:cantSplit w:val="false"/>
        </w:trPr>
        <w:tc>
          <w:tcPr>
            <w:tcW w:type="dxa" w:w="9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 xml:space="preserve">Programa: </w:t>
            </w:r>
            <w:r>
              <w:rPr>
                <w:rFonts w:cs="Times New Roman"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t>Área de Concentração de Interesse do Proponente (marque apenas uma)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139_671967757"/>
            <w:bookmarkStart w:id="13" w:name="__Fieldmark__139_671967757"/>
            <w:bookmarkStart w:id="14" w:name="__Fieldmark__139_671967757"/>
            <w:bookmarkEnd w:id="14"/>
            <w:r>
              <w:rPr/>
            </w:r>
            <w:r>
              <w:fldChar w:fldCharType="end"/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Políticas Públicas, Diversidade Cultural e Desenvolvimento Amazônico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145_671967757"/>
            <w:bookmarkStart w:id="16" w:name="__Fieldmark__145_671967757"/>
            <w:bookmarkStart w:id="17" w:name="__Fieldmark__145_671967757"/>
            <w:bookmarkEnd w:id="17"/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Biodiversidade, Saúde e Sustentabilidade</w:t>
            </w:r>
          </w:p>
        </w:tc>
      </w:tr>
      <w:tr>
        <w:trPr>
          <w:cantSplit w:val="false"/>
        </w:trPr>
        <w:tc>
          <w:tcPr>
            <w:tcW w:type="dxa" w:w="9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numPr>
                <w:ilvl w:val="0"/>
                <w:numId w:val="1"/>
              </w:numPr>
              <w:tabs>
                <w:tab w:leader="none" w:pos="426" w:val="left"/>
              </w:tabs>
              <w:spacing w:after="0" w:before="0" w:line="100" w:lineRule="atLeast"/>
              <w:ind w:hanging="360" w:left="0" w:right="0"/>
              <w:contextualSpacing/>
              <w:jc w:val="both"/>
            </w:pPr>
            <w:r>
              <w:rPr>
                <w:rFonts w:cs="Times New Roman"/>
                <w:sz w:val="24"/>
              </w:rPr>
              <w:t>Perfil Pretendido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leader="none" w:pos="426" w:val="left"/>
              </w:tabs>
              <w:spacing w:after="0" w:before="0" w:line="100" w:lineRule="atLeast"/>
              <w:ind w:hanging="360" w:left="0" w:right="0"/>
              <w:contextualSpacing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151_671967757"/>
            <w:bookmarkStart w:id="19" w:name="__Fieldmark__151_671967757"/>
            <w:bookmarkStart w:id="20" w:name="__Fieldmark__151_671967757"/>
            <w:bookmarkEnd w:id="20"/>
            <w:r>
              <w:rPr/>
            </w:r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4"/>
              </w:rPr>
              <w:t>Docente Permanente Exclusivo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156_671967757"/>
            <w:bookmarkStart w:id="22" w:name="__Fieldmark__156_671967757"/>
            <w:bookmarkStart w:id="23" w:name="__Fieldmark__156_671967757"/>
            <w:bookmarkEnd w:id="23"/>
            <w:r>
              <w:rPr/>
            </w:r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4"/>
              </w:rPr>
              <w:t>Docente Permanente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cs="Times New Roman"/>
          <w:b/>
          <w:sz w:val="20"/>
          <w:szCs w:val="20"/>
        </w:rPr>
      </w:r>
    </w:p>
    <w:p>
      <w:pPr>
        <w:pStyle w:val="style0"/>
        <w:shd w:fill="D9D9D9" w:val="clear"/>
        <w:spacing w:after="0" w:before="0" w:line="100" w:lineRule="atLeast"/>
        <w:ind w:hanging="0" w:left="0" w:right="-99"/>
        <w:contextualSpacing w:val="false"/>
        <w:jc w:val="center"/>
      </w:pPr>
      <w:r>
        <w:rPr>
          <w:rFonts w:cs="Times New Roman"/>
          <w:b/>
          <w:sz w:val="24"/>
          <w:szCs w:val="24"/>
        </w:rPr>
        <w:t>Dados Pessoais: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781"/>
      </w:tblGrid>
      <w:tr>
        <w:trPr>
          <w:cantSplit w:val="false"/>
        </w:trPr>
        <w:tc>
          <w:tcPr>
            <w:tcW w:type="dxa" w:w="978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Nome completo:</w:t>
            </w:r>
          </w:p>
        </w:tc>
      </w:tr>
      <w:tr>
        <w:trPr>
          <w:cantSplit w:val="false"/>
        </w:trPr>
        <w:tc>
          <w:tcPr>
            <w:tcW w:type="dxa" w:w="6945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Naturalidade (Cidade/UF/País):</w:t>
            </w:r>
          </w:p>
        </w:tc>
        <w:tc>
          <w:tcPr>
            <w:tcW w:type="dxa" w:w="283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Data de Nasc.:      /        /</w:t>
            </w:r>
          </w:p>
        </w:tc>
      </w:tr>
      <w:tr>
        <w:trPr>
          <w:cantSplit w:val="false"/>
        </w:trPr>
        <w:tc>
          <w:tcPr>
            <w:tcW w:type="dxa" w:w="34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RG:</w:t>
            </w:r>
          </w:p>
        </w:tc>
        <w:tc>
          <w:tcPr>
            <w:tcW w:type="dxa" w:w="354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Data da Expedição.:      /        /</w:t>
            </w:r>
          </w:p>
        </w:tc>
        <w:tc>
          <w:tcPr>
            <w:tcW w:type="dxa" w:w="283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CPF:</w:t>
            </w:r>
          </w:p>
        </w:tc>
      </w:tr>
      <w:tr>
        <w:trPr>
          <w:cantSplit w:val="false"/>
        </w:trPr>
        <w:tc>
          <w:tcPr>
            <w:tcW w:type="dxa" w:w="978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Email:</w:t>
            </w:r>
          </w:p>
        </w:tc>
      </w:tr>
      <w:tr>
        <w:trPr>
          <w:cantSplit w:val="false"/>
        </w:trPr>
        <w:tc>
          <w:tcPr>
            <w:tcW w:type="dxa" w:w="978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Endereço (profissional):</w:t>
            </w:r>
          </w:p>
        </w:tc>
      </w:tr>
      <w:tr>
        <w:trPr>
          <w:cantSplit w:val="false"/>
        </w:trPr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Cidade /Estado:</w:t>
            </w:r>
          </w:p>
        </w:tc>
        <w:tc>
          <w:tcPr>
            <w:tcW w:type="dxa" w:w="32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País: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Telefone:</w:t>
            </w:r>
          </w:p>
        </w:tc>
      </w:tr>
      <w:tr>
        <w:trPr>
          <w:cantSplit w:val="false"/>
        </w:trPr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Nº Passaporte (estrangeiro):</w:t>
            </w:r>
          </w:p>
        </w:tc>
        <w:tc>
          <w:tcPr>
            <w:tcW w:type="dxa" w:w="32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Órgão/Data de emissão:</w:t>
            </w:r>
          </w:p>
        </w:tc>
        <w:tc>
          <w:tcPr>
            <w:tcW w:type="dxa" w:w="25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Chegada no Brasil:    /    /</w:t>
            </w:r>
          </w:p>
        </w:tc>
      </w:tr>
      <w:tr>
        <w:trPr>
          <w:cantSplit w:val="false"/>
        </w:trPr>
        <w:tc>
          <w:tcPr>
            <w:tcW w:type="dxa" w:w="978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Instituição de vínculo:</w:t>
            </w:r>
          </w:p>
        </w:tc>
      </w:tr>
      <w:tr>
        <w:trPr>
          <w:cantSplit w:val="false"/>
        </w:trPr>
        <w:tc>
          <w:tcPr>
            <w:tcW w:type="dxa" w:w="978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Unidade de vínculo:</w:t>
            </w:r>
          </w:p>
        </w:tc>
      </w:tr>
      <w:tr>
        <w:trPr>
          <w:cantSplit w:val="false"/>
        </w:trPr>
        <w:tc>
          <w:tcPr>
            <w:tcW w:type="dxa" w:w="978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Início do vínculo com a instituição de origem:</w:t>
            </w:r>
          </w:p>
        </w:tc>
      </w:tr>
      <w:tr>
        <w:trPr>
          <w:cantSplit w:val="false"/>
        </w:trPr>
        <w:tc>
          <w:tcPr>
            <w:tcW w:type="dxa" w:w="978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 xml:space="preserve">Titulação:                                                                       Ano da Titulação: </w:t>
            </w:r>
          </w:p>
        </w:tc>
      </w:tr>
      <w:tr>
        <w:trPr>
          <w:cantSplit w:val="false"/>
        </w:trPr>
        <w:tc>
          <w:tcPr>
            <w:tcW w:type="dxa" w:w="978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0"/>
                <w:szCs w:val="20"/>
              </w:rPr>
              <w:t>Instituição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cs="Times New Roman"/>
          <w:b/>
          <w:sz w:val="20"/>
          <w:szCs w:val="20"/>
        </w:rPr>
      </w:r>
    </w:p>
    <w:tbl>
      <w:tblPr>
        <w:jc w:val="center"/>
        <w:tblInd w:type="dxa" w:w="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1"/>
      </w:tblGrid>
      <w:tr>
        <w:trPr>
          <w:cantSplit w:val="false"/>
        </w:trPr>
        <w:tc>
          <w:tcPr>
            <w:tcW w:type="dxa" w:w="9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t>Informação de vínculo em outro programa</w:t>
            </w:r>
          </w:p>
        </w:tc>
      </w:tr>
      <w:tr>
        <w:trPr>
          <w:cantSplit w:val="false"/>
        </w:trPr>
        <w:tc>
          <w:tcPr>
            <w:tcW w:type="dxa" w:w="9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t>O candidato pertence ao corpo docente de outro(s) programa(s)?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236_671967757"/>
            <w:bookmarkStart w:id="25" w:name="__Fieldmark__236_671967757"/>
            <w:bookmarkStart w:id="26" w:name="__Fieldmark__236_671967757"/>
            <w:bookmarkEnd w:id="26"/>
            <w:r>
              <w:rPr/>
            </w:r>
            <w:r>
              <w:fldChar w:fldCharType="end"/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Sim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241_671967757"/>
            <w:bookmarkStart w:id="28" w:name="__Fieldmark__241_671967757"/>
            <w:bookmarkStart w:id="29" w:name="__Fieldmark__241_671967757"/>
            <w:bookmarkEnd w:id="29"/>
            <w:r>
              <w:rPr/>
            </w:r>
            <w: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Não</w:t>
            </w:r>
          </w:p>
        </w:tc>
      </w:tr>
      <w:tr>
        <w:trPr>
          <w:cantSplit w:val="false"/>
        </w:trPr>
        <w:tc>
          <w:tcPr>
            <w:tcW w:type="dxa" w:w="9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numPr>
                <w:ilvl w:val="0"/>
                <w:numId w:val="1"/>
              </w:numPr>
              <w:tabs>
                <w:tab w:leader="none" w:pos="426" w:val="left"/>
              </w:tabs>
              <w:spacing w:after="0" w:before="0" w:line="100" w:lineRule="atLeast"/>
              <w:ind w:hanging="360" w:left="0" w:right="0"/>
              <w:contextualSpacing/>
              <w:jc w:val="both"/>
            </w:pPr>
            <w:r>
              <w:rPr>
                <w:rFonts w:cs="Times New Roman"/>
                <w:sz w:val="24"/>
              </w:rPr>
              <w:t>Em caso de Afirmação, assinale o grau de participação no programa ao qual já esteja vinculado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leader="none" w:pos="426" w:val="left"/>
              </w:tabs>
              <w:spacing w:after="0" w:before="0" w:line="100" w:lineRule="atLeast"/>
              <w:ind w:hanging="360" w:left="0" w:right="0"/>
              <w:contextualSpacing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248_671967757"/>
            <w:bookmarkStart w:id="31" w:name="__Fieldmark__248_671967757"/>
            <w:bookmarkStart w:id="32" w:name="__Fieldmark__248_671967757"/>
            <w:bookmarkEnd w:id="32"/>
            <w:r>
              <w:rPr/>
            </w:r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4"/>
              </w:rPr>
              <w:t>Docente Permanente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253_671967757"/>
            <w:bookmarkStart w:id="34" w:name="__Fieldmark__253_671967757"/>
            <w:bookmarkStart w:id="35" w:name="__Fieldmark__253_671967757"/>
            <w:bookmarkEnd w:id="35"/>
            <w:r>
              <w:rPr/>
            </w:r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4"/>
              </w:rPr>
              <w:t>Docente Colaborador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258_671967757"/>
            <w:bookmarkStart w:id="37" w:name="__Fieldmark__258_671967757"/>
            <w:bookmarkStart w:id="38" w:name="__Fieldmark__258_671967757"/>
            <w:bookmarkEnd w:id="38"/>
            <w:r>
              <w:rPr/>
            </w:r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4"/>
              </w:rPr>
              <w:t>Docente Visitante</w:t>
            </w:r>
          </w:p>
        </w:tc>
      </w:tr>
      <w:tr>
        <w:trPr>
          <w:cantSplit w:val="false"/>
        </w:trPr>
        <w:tc>
          <w:tcPr>
            <w:tcW w:type="dxa" w:w="9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30"/>
              <w:numPr>
                <w:ilvl w:val="0"/>
                <w:numId w:val="1"/>
              </w:numPr>
              <w:tabs>
                <w:tab w:leader="none" w:pos="426" w:val="left"/>
              </w:tabs>
              <w:spacing w:after="0" w:before="0" w:line="100" w:lineRule="atLeast"/>
              <w:ind w:hanging="360" w:left="0" w:right="0"/>
              <w:contextualSpacing/>
              <w:jc w:val="both"/>
            </w:pPr>
            <w:r>
              <w:rPr>
                <w:rFonts w:cs="Times New Roman"/>
                <w:b/>
                <w:sz w:val="24"/>
              </w:rPr>
              <w:t>Nome/Instituição do Programa: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leader="none" w:pos="426" w:val="left"/>
              </w:tabs>
              <w:spacing w:after="0" w:before="0" w:line="100" w:lineRule="atLeast"/>
              <w:ind w:hanging="360" w:left="0" w:right="0"/>
              <w:contextualSpacing/>
              <w:jc w:val="both"/>
            </w:pPr>
            <w:r>
              <w:rPr>
                <w:rFonts w:cs="Times New Roman"/>
                <w:sz w:val="24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cs="Times New Roman"/>
          <w:b/>
          <w:sz w:val="20"/>
          <w:szCs w:val="20"/>
        </w:rPr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801"/>
      </w:tblGrid>
      <w:tr>
        <w:trPr>
          <w:cantSplit w:val="false"/>
        </w:trPr>
        <w:tc>
          <w:tcPr>
            <w:tcW w:type="dxa" w:w="98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/>
                <w:sz w:val="24"/>
                <w:szCs w:val="24"/>
              </w:rPr>
              <w:t>Declaro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meu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interesse</w:t>
            </w:r>
            <w:r>
              <w:rPr>
                <w:rFonts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ser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credenciado</w:t>
            </w:r>
            <w:r>
              <w:rPr>
                <w:rFonts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ao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corpo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docente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do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PPGSAQ,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estando ciente</w:t>
            </w:r>
            <w:r>
              <w:rPr>
                <w:rFonts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de</w:t>
            </w:r>
            <w:r>
              <w:rPr>
                <w:rFonts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acordo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com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os</w:t>
            </w:r>
            <w:r>
              <w:rPr>
                <w:rFonts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critérios</w:t>
            </w:r>
            <w:r>
              <w:rPr>
                <w:rFonts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adotados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pela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Comissão</w:t>
            </w:r>
            <w:r>
              <w:rPr>
                <w:rFonts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de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Credenciamento</w:t>
            </w:r>
            <w:r>
              <w:rPr>
                <w:rFonts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do Programa. Declaro também que esta ficha contém informações completas e exatas.</w:t>
            </w:r>
          </w:p>
        </w:tc>
      </w:tr>
      <w:tr>
        <w:trPr>
          <w:trHeight w:hRule="atLeast" w:val="689"/>
          <w:cantSplit w:val="false"/>
        </w:trPr>
        <w:tc>
          <w:tcPr>
            <w:tcW w:type="dxa" w:w="39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_____________________________________Local,  Data</w:t>
            </w:r>
          </w:p>
        </w:tc>
        <w:tc>
          <w:tcPr>
            <w:tcW w:type="dxa" w:w="58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_______________________________________________ Assinatura do(a) proponente(a)</w:t>
            </w: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</w:rPr>
        <w:t xml:space="preserve">ANEXO IV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</w:rPr>
        <w:t>ATIVIDADES DE FORMAÇÃO (ORIENTAÇÃO, DISCIPLINAS, PROJETOS) - TABELA DE DADOS QUANTITATIVOS</w:t>
      </w:r>
    </w:p>
    <w:tbl>
      <w:tblPr>
        <w:jc w:val="center"/>
        <w:tblInd w:type="dxa" w:w="70"/>
        <w:tblBorders>
          <w:top w:color="000001" w:space="0" w:sz="4" w:val="single"/>
          <w:left w:color="00000A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10294"/>
        <w:gridCol w:w="4168"/>
      </w:tblGrid>
      <w:tr>
        <w:trPr>
          <w:trHeight w:hRule="atLeast" w:val="231"/>
          <w:cantSplit w:val="false"/>
        </w:trPr>
        <w:tc>
          <w:tcPr>
            <w:tcW w:type="dxa" w:w="10294"/>
            <w:gridSpan w:val="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one"/>
            </w:tcBorders>
            <w:shd w:fill="EEECE1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Orientações Concluídas</w:t>
            </w:r>
          </w:p>
        </w:tc>
        <w:tc>
          <w:tcPr>
            <w:tcW w:type="dxa" w:w="41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CE1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Projetos</w:t>
            </w:r>
          </w:p>
        </w:tc>
      </w:tr>
      <w:tr>
        <w:trPr>
          <w:trHeight w:hRule="atLeast" w:val="409"/>
          <w:cantSplit w:val="false"/>
        </w:trPr>
        <w:tc>
          <w:tcPr>
            <w:tcW w:type="dxa" w:w="3346"/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C4BC96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Graduação</w:t>
            </w:r>
          </w:p>
        </w:tc>
        <w:tc>
          <w:tcPr>
            <w:tcW w:type="dxa" w:w="6948"/>
            <w:gridSpan w:val="4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8DB3E2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Pós-Graduação</w:t>
            </w:r>
          </w:p>
        </w:tc>
        <w:tc>
          <w:tcPr>
            <w:tcW w:type="dxa" w:w="416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0D9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Participação em projeto</w:t>
            </w:r>
          </w:p>
        </w:tc>
      </w:tr>
      <w:tr>
        <w:trPr>
          <w:trHeight w:hRule="atLeast" w:val="479"/>
          <w:cantSplit w:val="false"/>
        </w:trPr>
        <w:tc>
          <w:tcPr>
            <w:tcW w:type="dxa" w:w="1314"/>
            <w:tcBorders>
              <w:top w:val="non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C4BC96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</w:rPr>
              <w:t xml:space="preserve">IC:Iniciação Científica  </w:t>
            </w:r>
          </w:p>
        </w:tc>
        <w:tc>
          <w:tcPr>
            <w:tcW w:type="dxa" w:w="203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4BC96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</w:rPr>
              <w:t>TCC: Trabalho de Conclusão de Curso</w:t>
            </w:r>
          </w:p>
        </w:tc>
        <w:tc>
          <w:tcPr>
            <w:tcW w:type="dxa" w:w="198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8DB3E2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</w:rPr>
              <w:t xml:space="preserve">ESP:Especialização 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8DB3E2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</w:rPr>
              <w:t>MP:Mestrado Profissional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8DB3E2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</w:rPr>
              <w:t xml:space="preserve">ME:Mestrado Acadêmico  </w:t>
            </w:r>
          </w:p>
        </w:tc>
        <w:tc>
          <w:tcPr>
            <w:tcW w:type="dxa" w:w="1843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8DB3E2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</w:rPr>
              <w:t>DO:Doutorado</w:t>
            </w:r>
          </w:p>
        </w:tc>
        <w:tc>
          <w:tcPr>
            <w:tcW w:type="dxa" w:w="212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CC0D9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Com financiamento</w:t>
            </w:r>
          </w:p>
        </w:tc>
        <w:tc>
          <w:tcPr>
            <w:tcW w:type="dxa" w:w="204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CC0D9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Sem financiamento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1314"/>
            <w:tcBorders>
              <w:top w:val="non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03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98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843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12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04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1314"/>
            <w:tcBorders>
              <w:top w:val="non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03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98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843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12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04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1314"/>
            <w:tcBorders>
              <w:top w:val="non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03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98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843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12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04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1314"/>
            <w:tcBorders>
              <w:top w:val="non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03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98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55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1843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12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2041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</w:rPr>
        <w:t>Produção do Docente: Quantitativos declarados com base nas produções declaradas - Produção entre 2014 e 2018</w:t>
      </w:r>
    </w:p>
    <w:tbl>
      <w:tblPr>
        <w:jc w:val="left"/>
        <w:tblInd w:type="dxa" w:w="75"/>
        <w:tblBorders>
          <w:top w:color="000001" w:space="0" w:sz="4" w:val="single"/>
          <w:left w:color="000001" w:space="0" w:sz="4" w:val="single"/>
          <w:bottom w:val="none"/>
          <w:insideH w:val="none"/>
          <w:right w:color="000001" w:space="0" w:sz="4" w:val="single"/>
          <w:insideV w:color="000001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703"/>
        <w:gridCol w:w="3119"/>
        <w:gridCol w:w="7513"/>
        <w:gridCol w:w="3259"/>
      </w:tblGrid>
      <w:tr>
        <w:trPr>
          <w:trHeight w:hRule="atLeast" w:val="210"/>
          <w:cantSplit w:val="false"/>
        </w:trPr>
        <w:tc>
          <w:tcPr>
            <w:tcW w:type="dxa" w:w="703"/>
            <w:vMerge w:val="restart"/>
            <w:tcBorders>
              <w:top w:color="000001" w:space="0" w:sz="4" w:val="single"/>
              <w:left w:color="000001" w:space="0" w:sz="4" w:val="single"/>
              <w:bottom w:val="none"/>
              <w:right w:color="000001" w:space="0" w:sz="4" w:val="single"/>
            </w:tcBorders>
            <w:shd w:fill="C5D8F1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ANO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  <w:t> </w:t>
            </w:r>
          </w:p>
        </w:tc>
        <w:tc>
          <w:tcPr>
            <w:tcW w:type="dxa" w:w="3119"/>
            <w:gridSpan w:val="5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D89493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Bibliográfica </w:t>
            </w:r>
          </w:p>
        </w:tc>
        <w:tc>
          <w:tcPr>
            <w:tcW w:type="dxa" w:w="7513"/>
            <w:gridSpan w:val="12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Técnica </w:t>
            </w:r>
          </w:p>
        </w:tc>
        <w:tc>
          <w:tcPr>
            <w:tcW w:type="dxa" w:w="3259"/>
            <w:gridSpan w:val="5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9BF8E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Artística 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03"/>
            <w:vMerge w:val="continue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5D8F1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D89493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AP </w:t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D89493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LIV </w:t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D89493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TA </w:t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D89493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OPB</w:t>
            </w:r>
          </w:p>
        </w:tc>
        <w:tc>
          <w:tcPr>
            <w:tcW w:type="dxa" w:w="710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D89493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TPB </w:t>
            </w:r>
          </w:p>
        </w:tc>
        <w:tc>
          <w:tcPr>
            <w:tcW w:type="dxa" w:w="84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DMDI </w:t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DA</w:t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ED </w:t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DP</w:t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AT</w:t>
            </w:r>
          </w:p>
        </w:tc>
        <w:tc>
          <w:tcPr>
            <w:tcW w:type="dxa" w:w="42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ST</w:t>
            </w:r>
          </w:p>
        </w:tc>
        <w:tc>
          <w:tcPr>
            <w:tcW w:type="dxa" w:w="710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CCD</w:t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OE</w:t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PRT </w:t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DT </w:t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>OPT</w:t>
            </w:r>
          </w:p>
        </w:tc>
        <w:tc>
          <w:tcPr>
            <w:tcW w:type="dxa" w:w="708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C1D69A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TPT </w:t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9BF8E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AC </w:t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9BF8E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AV </w:t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9BF8E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MUS </w:t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9BF8E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OPA </w:t>
            </w:r>
          </w:p>
        </w:tc>
        <w:tc>
          <w:tcPr>
            <w:tcW w:type="dxa" w:w="71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9BF8E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b/>
                <w:bCs/>
                <w:lang w:eastAsia="pt-BR"/>
              </w:rPr>
              <w:t xml:space="preserve">TPA 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03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2014</w:t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84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8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03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  <w:t>2015</w:t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84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8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03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  <w:t>2016</w:t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84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8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4"/>
            <w:tcBorders>
              <w:top w:val="non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03"/>
            <w:tcBorders>
              <w:top w:val="non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  <w:t>2017</w:t>
            </w:r>
          </w:p>
        </w:tc>
        <w:tc>
          <w:tcPr>
            <w:tcW w:type="dxa" w:w="566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849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8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4"/>
            <w:tcBorders>
              <w:top w:val="non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70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  <w:t>2018</w:t>
            </w:r>
          </w:p>
        </w:tc>
        <w:tc>
          <w:tcPr>
            <w:tcW w:type="dxa" w:w="566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0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  <w:tc>
          <w:tcPr>
            <w:tcW w:type="dxa" w:w="714"/>
            <w:tcBorders>
              <w:top w:color="00000A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color w:val="000000"/>
                <w:lang w:eastAsia="pt-BR"/>
              </w:rPr>
            </w:r>
          </w:p>
        </w:tc>
      </w:tr>
    </w:tbl>
    <w:p>
      <w:pPr>
        <w:sectPr>
          <w:headerReference r:id="rId2" w:type="default"/>
          <w:footerReference r:id="rId3" w:type="default"/>
          <w:type w:val="nextPage"/>
          <w:pgSz w:h="16838" w:w="11906"/>
          <w:pgMar w:bottom="1134" w:footer="720" w:gutter="0" w:header="720" w:left="1134" w:right="1134" w:top="1134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>AP: Artigo em Periódico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LIV: Livros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TA: Trabalho em Anais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OPB: Outras Produções Bibliográficos (Artigo em Jornais e Revistas, Tradução, Partitura, Outros)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>TPB: Total de Produções Bibliográficas;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>DMDI: Desenvolvimento de Material Didático e Instrucional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DA: Desenvolvimento de Aplicativo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>ED: Editoria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DP: Desenvolvimento de Produto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AT: Apresentação de Trabalho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CCD: Curso de Curta Duração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OE: Organização de Eventos </w:t>
        <w:tab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PRT: Programa de Rádio ou TV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DT: Desenvolvimento de Técnica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>OPT: Outras Produções Técnicas (Relatório de Pesquisa, Manutenção de Obra, Artística)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>TPT: Total de Produções Técnicas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AC: Artes Cênicas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AV: Artes Visuais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MUS: Música </w:t>
        <w:tab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 xml:space="preserve">OPA: Outras Produções Artísticas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16"/>
          <w:szCs w:val="16"/>
        </w:rPr>
        <w:t>TPA: Total de Produções Artísticas</w:t>
      </w:r>
    </w:p>
    <w:p>
      <w:pPr>
        <w:sectPr>
          <w:type w:val="continuous"/>
          <w:pgSz w:h="11906" w:orient="landscape" w:w="16838"/>
          <w:pgMar w:bottom="1134" w:footer="720" w:gutter="0" w:header="510" w:left="1134" w:right="1134" w:top="2505"/>
          <w:cols w:equalWidth="false" w:num="3" w:sep="true">
            <w:col w:space="708" w:w="4502"/>
            <w:col w:space="708" w:w="4148"/>
            <w:col w:w="4502"/>
          </w:cols>
          <w:formProt w:val="false"/>
          <w:textDirection w:val="lrTb"/>
          <w:docGrid w:charSpace="0" w:linePitch="360" w:type="default"/>
        </w:sectPr>
      </w:pP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4633"/>
      </w:tblGrid>
      <w:tr>
        <w:trPr>
          <w:cantSplit w:val="false"/>
        </w:trPr>
        <w:tc>
          <w:tcPr>
            <w:tcW w:type="dxa" w:w="1463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sz w:val="20"/>
                <w:szCs w:val="20"/>
              </w:rPr>
              <w:t>Declaro que as informações prestadas documento são de minha inteira responsabilidade, dispondo ao programa o direito de excluir do processo seletivo caso apresente documentação incompleta, com preenchimento incompleto e inelegível dos formulários e/ou se fornecer dados inverídicos.</w:t>
            </w:r>
          </w:p>
        </w:tc>
      </w:tr>
      <w:tr>
        <w:trPr>
          <w:trHeight w:hRule="atLeast" w:val="628"/>
          <w:cantSplit w:val="false"/>
        </w:trPr>
        <w:tc>
          <w:tcPr>
            <w:tcW w:type="dxa" w:w="34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t>Data:</w:t>
            </w:r>
          </w:p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type="dxa" w:w="38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t>Local:</w:t>
            </w:r>
          </w:p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type="dxa" w:w="73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t xml:space="preserve">Nome e Assinatura do(a) proponente(a) </w:t>
            </w:r>
          </w:p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sz w:val="20"/>
          <w:szCs w:val="20"/>
        </w:rPr>
        <w:t>ANEXO V -</w:t>
      </w:r>
      <w:r>
        <w:rPr>
          <w:rFonts w:cs="Times New Roman"/>
          <w:b/>
        </w:rPr>
        <w:t xml:space="preserve"> PONTUAÇÃO DE ARTIGOS</w:t>
      </w:r>
    </w:p>
    <w:tbl>
      <w:tblPr>
        <w:jc w:val="center"/>
        <w:tblInd w:type="dxa" w:w="7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5019"/>
        <w:gridCol w:w="2989"/>
      </w:tblGrid>
      <w:tr>
        <w:trPr>
          <w:trHeight w:hRule="atLeast" w:val="300"/>
          <w:cantSplit w:val="false"/>
        </w:trPr>
        <w:tc>
          <w:tcPr>
            <w:tcW w:type="dxa" w:w="50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Artigos</w:t>
            </w:r>
          </w:p>
        </w:tc>
        <w:tc>
          <w:tcPr>
            <w:tcW w:type="dxa" w:w="2989"/>
            <w:gridSpan w:val="7"/>
            <w:tcBorders>
              <w:top w:color="00000A" w:space="0" w:sz="4" w:val="single"/>
              <w:left w:val="none"/>
              <w:bottom w:color="00000A" w:space="0" w:sz="4" w:val="single"/>
              <w:right w:color="000001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Produção de 2016 a 2018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Nome da revista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Ano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A1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A2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B1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B2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B3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B4</w:t>
            </w:r>
          </w:p>
        </w:tc>
        <w:tc>
          <w:tcPr>
            <w:tcW w:type="dxa" w:w="42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b/>
                <w:color w:val="000000"/>
                <w:lang w:eastAsia="pt-BR"/>
              </w:rPr>
              <w:t>B5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Calibri" w:cs="Calibri" w:eastAsia="Times New Roman" w:hAnsi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38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6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  <w:t> </w:t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3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3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3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3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3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3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44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bottom"/>
          </w:tcPr>
          <w:p>
            <w:pPr>
              <w:pStyle w:val="style0"/>
              <w:spacing w:after="0" w:before="0" w:line="360" w:lineRule="auto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5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38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  <w:tc>
          <w:tcPr>
            <w:tcW w:type="dxa" w:w="42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Calibri" w:eastAsia="Times New Roman" w:hAnsi="Calibri"/>
                <w:color w:val="000000"/>
                <w:lang w:eastAsia="pt-BR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sz w:val="20"/>
          <w:szCs w:val="20"/>
        </w:rPr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973"/>
      </w:tblGrid>
      <w:tr>
        <w:trPr>
          <w:cantSplit w:val="false"/>
        </w:trPr>
        <w:tc>
          <w:tcPr>
            <w:tcW w:type="dxa" w:w="897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sz w:val="20"/>
                <w:szCs w:val="20"/>
              </w:rPr>
              <w:t>Declaro que as informações prestadas no documento são de minha inteira responsabilidade, dispondo ao programa o direito de excluir da chamada pública caso apresente documentação incompleta, com preenchimento incompleto e inelegível dos formulários e/ou se fornecer dados inverídicos.</w:t>
            </w:r>
          </w:p>
        </w:tc>
      </w:tr>
      <w:tr>
        <w:trPr>
          <w:trHeight w:hRule="atLeast" w:val="628"/>
          <w:cantSplit w:val="false"/>
        </w:trPr>
        <w:tc>
          <w:tcPr>
            <w:tcW w:type="dxa" w:w="14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t>Data:</w:t>
            </w:r>
          </w:p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type="dxa" w:w="38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t>Local:</w:t>
            </w:r>
          </w:p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type="dxa" w:w="37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t xml:space="preserve">Nome e Assinatura do(a) proponente(a) </w:t>
            </w:r>
          </w:p>
          <w:p>
            <w:pPr>
              <w:pStyle w:val="style0"/>
              <w:tabs>
                <w:tab w:leader="none" w:pos="2970" w:val="left"/>
              </w:tabs>
              <w:spacing w:after="0" w:before="0" w:line="100" w:lineRule="atLeast"/>
              <w:contextualSpacing w:val="false"/>
            </w:pP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  <w:r>
              <w:rPr>
                <w:rFonts w:cs="Times New Roman"/>
                <w:b/>
                <w:sz w:val="20"/>
                <w:szCs w:val="20"/>
              </w:rPr>
              <w:fldChar w:fldCharType="begin"/>
            </w:r>
            <w:r>
              <w:instrText> FILLIN "Texto3"</w:instrText>
            </w:r>
            <w:r>
              <w:fldChar w:fldCharType="separate"/>
            </w:r>
            <w:r/>
            <w:r>
              <w:fldChar w:fldCharType="end"/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cs="Times New Roman"/>
          <w:b/>
          <w:sz w:val="24"/>
          <w:szCs w:val="24"/>
        </w:rPr>
      </w:r>
    </w:p>
    <w:p>
      <w:pPr>
        <w:pStyle w:val="style0"/>
      </w:pPr>
      <w:r>
        <w:rPr>
          <w:rFonts w:cs="Times New Roman"/>
          <w:b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contextualSpacing w:val="false"/>
      </w:pPr>
      <w:r>
        <w:rPr>
          <w:rFonts w:cs="Times New Roman"/>
          <w:b/>
          <w:sz w:val="24"/>
          <w:szCs w:val="24"/>
        </w:rPr>
      </w:r>
    </w:p>
    <w:p>
      <w:pPr>
        <w:pStyle w:val="style0"/>
        <w:jc w:val="center"/>
      </w:pPr>
      <w:r>
        <w:rPr>
          <w:rFonts w:cs="Times New Roman"/>
          <w:b/>
          <w:sz w:val="24"/>
          <w:szCs w:val="24"/>
        </w:rPr>
        <w:t>ANEXO VI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sz w:val="24"/>
          <w:szCs w:val="24"/>
        </w:rPr>
        <w:t>PLANO DE TRABALHO QUADRIENAL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cs="Times New Roman"/>
          <w:sz w:val="24"/>
          <w:szCs w:val="24"/>
        </w:rPr>
        <w:t>O Plano de Trabalho para fins de credenciamento junto ao PPGSAQ deve conter duas partes claramente apresentadas: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b/>
          <w:sz w:val="24"/>
          <w:szCs w:val="24"/>
        </w:rPr>
        <w:t>Parte científica</w:t>
      </w:r>
      <w:r>
        <w:rPr>
          <w:rFonts w:cs="Times New Roman"/>
          <w:sz w:val="24"/>
          <w:szCs w:val="24"/>
        </w:rPr>
        <w:t>: descritivo feito pelo candidato sobre a relação entre suas pesquisas atuais e a Linha de pesquisa no Programa de interesse do candidato; 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b/>
          <w:sz w:val="24"/>
          <w:szCs w:val="24"/>
        </w:rPr>
        <w:t>Parte acadêmica:</w:t>
      </w:r>
      <w:r>
        <w:rPr>
          <w:rFonts w:cs="Times New Roman"/>
          <w:sz w:val="24"/>
          <w:szCs w:val="24"/>
        </w:rPr>
        <w:t xml:space="preserve"> descritivo de interesse do candidato para com as disciplinas obrigatórias atualmente ofertadas pelo PPGSAQ, bem como em relação às optativas (ANEXO VIII), manifestando qual(is) disciplina(s) obrigatória(s) e optativa(s) no percurso acadêmico do programa virá a contribuir, apresentando justificativa.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sz w:val="24"/>
          <w:szCs w:val="24"/>
        </w:rPr>
        <w:t>LINHAS DE PESQUISA DO PROGRAMA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>Linha 1 – Políticas Públicas, Diversidade Cultural e Desenvolvimento Amazônico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Descrição: Realiza estudos e pesquisas interdisciplinares com ênfase nas realidades e diversidades amazônicas no que se refere: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>a) Investigações sobre políticas públicas e formas de organização social voltadas para o desenvolvimento regional;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>b) Análises das políticas públicas com ênfase em educação, saúde e meio ambiente, subjacentes ao planejamento, financiamento, avaliação e gestão de sistemas, bem como a formação de recursos humanos;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>c) Pesquisas sobre sistemas de conhecimentos, patrimonialidades de cultura e história, natureza, memória, território, sua relação com a educação ambiental e o desenvolvimento regional.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>Linha 2 – Biodiversidade, Saúde e Sustentabilidade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>Descrição: Realiza estudos e pesquisas interdisciplinares sobre estrutura, processos ecológicos e dinâmica dos ecossistemas naturais e/ou antropizados no que se refere: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>a) Investigações dos impactos das atividades humanas sobre biodiversidade, serviços ambientais, capacidade de resiliência dos ecossistemas e/ou saúde e sua relação com a qualidade de vida;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>b) Pesquisas da relação entre o conhecimento ambiental, questões de organização social e governança;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  <w:t>c) Análises das interrelações entre comunidades e o meio natural através do uso/manejo sustentável dos recursos naturais do ponto de vista ecológico e socioeconômico.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4"/>
          <w:szCs w:val="24"/>
        </w:rPr>
      </w:r>
    </w:p>
    <w:p>
      <w:pPr>
        <w:pStyle w:val="style0"/>
      </w:pPr>
      <w:r>
        <w:rPr>
          <w:rFonts w:cs="Times New Roman"/>
          <w:sz w:val="24"/>
          <w:szCs w:val="24"/>
        </w:rPr>
      </w:r>
    </w:p>
    <w:p>
      <w:pPr>
        <w:pStyle w:val="style0"/>
        <w:pageBreakBefore/>
        <w:spacing w:after="0" w:before="0" w:line="100" w:lineRule="atLeast"/>
        <w:contextualSpacing w:val="false"/>
        <w:jc w:val="center"/>
      </w:pPr>
      <w:r>
        <w:rPr>
          <w:rFonts w:cs="Times New Roman"/>
          <w:b/>
          <w:color w:val="000000"/>
          <w:w w:val="95"/>
        </w:rPr>
        <w:t>ANEXO VII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color w:val="000000"/>
          <w:w w:val="95"/>
        </w:rPr>
        <w:t>CRITÉRIOS DE ÍNDICE DE CREDENCIAMENTO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color w:val="000000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color w:val="000000"/>
        </w:rPr>
        <w:t>Cada</w:t>
      </w:r>
      <w:r>
        <w:rPr>
          <w:rFonts w:cs="Times New Roman"/>
          <w:color w:val="000000"/>
          <w:spacing w:val="-26"/>
        </w:rPr>
        <w:t xml:space="preserve"> </w:t>
      </w:r>
      <w:r>
        <w:rPr>
          <w:rFonts w:cs="Times New Roman"/>
          <w:color w:val="000000"/>
        </w:rPr>
        <w:t>um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dos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seguintes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parâmetros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compõe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fórmula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cálculo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Índice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de Credenciamento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b/>
          <w:color w:val="000000"/>
        </w:rPr>
        <w:t>IC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PPGSAQ,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com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os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seguintes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pesos: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color w:val="000000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i/>
          <w:color w:val="000000"/>
          <w:w w:val="105"/>
        </w:rPr>
        <w:t>Número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de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orientações</w:t>
      </w:r>
      <w:r>
        <w:rPr>
          <w:rFonts w:cs="Times New Roman"/>
          <w:i/>
          <w:color w:val="000000"/>
          <w:spacing w:val="-11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de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mestrado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no</w:t>
      </w:r>
      <w:r>
        <w:rPr>
          <w:rFonts w:cs="Times New Roman"/>
          <w:i/>
          <w:color w:val="000000"/>
          <w:spacing w:val="-11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ultimo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triênio: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20%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i/>
          <w:color w:val="000000"/>
          <w:w w:val="105"/>
        </w:rPr>
        <w:t>Carga</w:t>
      </w:r>
      <w:r>
        <w:rPr>
          <w:rFonts w:cs="Times New Roman"/>
          <w:i/>
          <w:color w:val="000000"/>
          <w:spacing w:val="-21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Horária</w:t>
      </w:r>
      <w:r>
        <w:rPr>
          <w:rFonts w:cs="Times New Roman"/>
          <w:i/>
          <w:color w:val="000000"/>
          <w:spacing w:val="-21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ministrada</w:t>
      </w:r>
      <w:r>
        <w:rPr>
          <w:rFonts w:cs="Times New Roman"/>
          <w:i/>
          <w:color w:val="000000"/>
          <w:spacing w:val="-21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em</w:t>
      </w:r>
      <w:r>
        <w:rPr>
          <w:rFonts w:cs="Times New Roman"/>
          <w:i/>
          <w:color w:val="000000"/>
          <w:spacing w:val="-20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programas</w:t>
      </w:r>
      <w:r>
        <w:rPr>
          <w:rFonts w:cs="Times New Roman"/>
          <w:i/>
          <w:color w:val="000000"/>
          <w:spacing w:val="-21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de</w:t>
      </w:r>
      <w:r>
        <w:rPr>
          <w:rFonts w:cs="Times New Roman"/>
          <w:i/>
          <w:color w:val="000000"/>
          <w:spacing w:val="-21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pós-graduação</w:t>
      </w:r>
      <w:r>
        <w:rPr>
          <w:rFonts w:cs="Times New Roman"/>
          <w:i/>
          <w:color w:val="000000"/>
          <w:spacing w:val="-20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no</w:t>
      </w:r>
      <w:r>
        <w:rPr>
          <w:rFonts w:cs="Times New Roman"/>
          <w:i/>
          <w:color w:val="000000"/>
          <w:spacing w:val="-21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último</w:t>
      </w:r>
      <w:r>
        <w:rPr>
          <w:rFonts w:cs="Times New Roman"/>
          <w:i/>
          <w:color w:val="000000"/>
          <w:spacing w:val="-20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triênio (</w:t>
      </w:r>
      <w:r>
        <w:rPr>
          <w:rFonts w:cs="Times New Roman"/>
          <w:color w:val="000000"/>
        </w:rPr>
        <w:t>2016/2018</w:t>
      </w:r>
      <w:r>
        <w:rPr>
          <w:rFonts w:cs="Times New Roman"/>
          <w:i/>
          <w:color w:val="000000"/>
          <w:w w:val="105"/>
        </w:rPr>
        <w:t>)</w:t>
      </w:r>
      <w:r>
        <w:rPr>
          <w:rFonts w:cs="Times New Roman"/>
          <w:i/>
          <w:color w:val="000000"/>
          <w:spacing w:val="-13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(Obrigatórias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ou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Optativas):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20%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i/>
          <w:color w:val="000000"/>
          <w:w w:val="105"/>
        </w:rPr>
        <w:t>Número</w:t>
      </w:r>
      <w:r>
        <w:rPr>
          <w:rFonts w:cs="Times New Roman"/>
          <w:i/>
          <w:color w:val="000000"/>
          <w:spacing w:val="-13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de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Artigos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publicados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no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ultimo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triênio:</w:t>
      </w:r>
      <w:r>
        <w:rPr>
          <w:rFonts w:cs="Times New Roman"/>
          <w:i/>
          <w:color w:val="000000"/>
          <w:spacing w:val="-12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40%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i/>
          <w:color w:val="000000"/>
          <w:w w:val="105"/>
        </w:rPr>
        <w:t>Número</w:t>
      </w:r>
      <w:r>
        <w:rPr>
          <w:rFonts w:cs="Times New Roman"/>
          <w:i/>
          <w:color w:val="000000"/>
          <w:spacing w:val="-21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de</w:t>
      </w:r>
      <w:r>
        <w:rPr>
          <w:rFonts w:cs="Times New Roman"/>
          <w:i/>
          <w:color w:val="000000"/>
          <w:spacing w:val="-20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Projetos</w:t>
      </w:r>
      <w:r>
        <w:rPr>
          <w:rFonts w:cs="Times New Roman"/>
          <w:i/>
          <w:color w:val="000000"/>
          <w:spacing w:val="-20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atualmente</w:t>
      </w:r>
      <w:r>
        <w:rPr>
          <w:rFonts w:cs="Times New Roman"/>
          <w:i/>
          <w:color w:val="000000"/>
          <w:spacing w:val="-20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cadastrados</w:t>
      </w:r>
      <w:r>
        <w:rPr>
          <w:rFonts w:cs="Times New Roman"/>
          <w:i/>
          <w:color w:val="000000"/>
          <w:spacing w:val="-20"/>
          <w:w w:val="105"/>
        </w:rPr>
        <w:t xml:space="preserve"> e em desenvolvimento </w:t>
      </w:r>
      <w:r>
        <w:rPr>
          <w:rFonts w:cs="Times New Roman"/>
          <w:i/>
          <w:color w:val="000000"/>
          <w:w w:val="105"/>
        </w:rPr>
        <w:t>ou</w:t>
      </w:r>
      <w:r>
        <w:rPr>
          <w:rFonts w:cs="Times New Roman"/>
          <w:i/>
          <w:color w:val="000000"/>
          <w:spacing w:val="-20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financiados:</w:t>
      </w:r>
      <w:r>
        <w:rPr>
          <w:rFonts w:cs="Times New Roman"/>
          <w:i/>
          <w:color w:val="000000"/>
          <w:spacing w:val="-20"/>
          <w:w w:val="105"/>
        </w:rPr>
        <w:t xml:space="preserve"> </w:t>
      </w:r>
      <w:r>
        <w:rPr>
          <w:rFonts w:cs="Times New Roman"/>
          <w:i/>
          <w:color w:val="000000"/>
          <w:w w:val="105"/>
        </w:rPr>
        <w:t>20%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i/>
          <w:color w:val="000000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color w:val="000000"/>
        </w:rPr>
        <w:t>Os parâmetros são usados da seguinte forma: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color w:val="000000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/>
          <w:b/>
          <w:color w:val="000000"/>
        </w:rPr>
        <w:t>TABELA DE PARÂMETRO PARA O ÍNDICE DE CREDENCIAMENTO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color w:val="000000"/>
          <w:sz w:val="24"/>
          <w:szCs w:val="24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90"/>
        <w:gridCol w:w="5264"/>
        <w:gridCol w:w="1843"/>
      </w:tblGrid>
      <w:tr>
        <w:trPr>
          <w:cantSplit w:val="false"/>
        </w:trPr>
        <w:tc>
          <w:tcPr>
            <w:tcW w:type="dxa" w:w="1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PARÂMETRO</w:t>
            </w:r>
          </w:p>
        </w:tc>
        <w:tc>
          <w:tcPr>
            <w:tcW w:type="dxa" w:w="5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DESCRITIVO E VALOR MULTIPLICADO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PONTUAÇÃO MÁXIMA</w:t>
            </w:r>
          </w:p>
        </w:tc>
      </w:tr>
      <w:tr>
        <w:trPr>
          <w:cantSplit w:val="false"/>
        </w:trPr>
        <w:tc>
          <w:tcPr>
            <w:tcW w:type="dxa" w:w="1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type="dxa" w:w="5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Número de orientações multiplicado por 10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 pontos</w:t>
            </w:r>
          </w:p>
        </w:tc>
      </w:tr>
      <w:tr>
        <w:trPr>
          <w:cantSplit w:val="false"/>
        </w:trPr>
        <w:tc>
          <w:tcPr>
            <w:tcW w:type="dxa" w:w="1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type="dxa" w:w="5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Carga Horária de 60 horas corresponde a 1 ponto, carga horária de 30 horas corresponde a 0.5, e carga horária de 20 horas corresponde a 0.3, multiplicado por 10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 pontos</w:t>
            </w:r>
          </w:p>
        </w:tc>
      </w:tr>
      <w:tr>
        <w:trPr>
          <w:cantSplit w:val="false"/>
        </w:trPr>
        <w:tc>
          <w:tcPr>
            <w:tcW w:type="dxa" w:w="1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type="dxa" w:w="5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28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Produção agrupada de Artigo: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leader="none" w:pos="283" w:val="left"/>
              </w:tabs>
              <w:spacing w:after="0" w:before="0" w:line="100" w:lineRule="atLeast"/>
              <w:ind w:hanging="720" w:left="0" w:right="0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QUALIS A</w:t>
            </w:r>
          </w:p>
          <w:p>
            <w:pPr>
              <w:pStyle w:val="style30"/>
              <w:tabs>
                <w:tab w:leader="none" w:pos="283" w:val="left"/>
              </w:tabs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(10 pontos por artigo);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leader="none" w:pos="283" w:val="left"/>
              </w:tabs>
              <w:spacing w:after="0" w:before="0" w:line="100" w:lineRule="atLeast"/>
              <w:ind w:hanging="720" w:left="0" w:right="0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QUALIS B1-B2</w:t>
            </w:r>
          </w:p>
          <w:p>
            <w:pPr>
              <w:pStyle w:val="style30"/>
              <w:tabs>
                <w:tab w:leader="none" w:pos="283" w:val="left"/>
              </w:tabs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(7 pontos por artigo);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leader="none" w:pos="283" w:val="left"/>
              </w:tabs>
              <w:spacing w:after="0" w:before="0" w:line="100" w:lineRule="atLeast"/>
              <w:ind w:hanging="720" w:left="0" w:right="0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QUALIS B3-B5</w:t>
            </w:r>
          </w:p>
          <w:p>
            <w:pPr>
              <w:pStyle w:val="style0"/>
              <w:tabs>
                <w:tab w:leader="none" w:pos="28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(4 pontos por artigo); </w:t>
            </w:r>
          </w:p>
          <w:p>
            <w:pPr>
              <w:pStyle w:val="style30"/>
              <w:numPr>
                <w:ilvl w:val="0"/>
                <w:numId w:val="2"/>
              </w:numPr>
              <w:tabs>
                <w:tab w:leader="none" w:pos="283" w:val="left"/>
              </w:tabs>
              <w:spacing w:after="0" w:before="0" w:line="100" w:lineRule="atLeast"/>
              <w:ind w:hanging="720" w:left="0" w:right="0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Capítulo de livro (6 pontos) relevante para a área Interdisciplinar</w:t>
            </w:r>
          </w:p>
          <w:p>
            <w:pPr>
              <w:pStyle w:val="style0"/>
              <w:tabs>
                <w:tab w:leader="none" w:pos="283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Multiplicado por 10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 Pontos</w:t>
            </w:r>
          </w:p>
        </w:tc>
      </w:tr>
      <w:tr>
        <w:trPr>
          <w:cantSplit w:val="false"/>
        </w:trPr>
        <w:tc>
          <w:tcPr>
            <w:tcW w:type="dxa" w:w="17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type="dxa" w:w="5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projeto cadastrado ou financiado em desenvolvimento e que tenha relação científica com as linhas de pesquisa do Programa (10 pontos para cada)</w:t>
            </w:r>
          </w:p>
        </w:tc>
        <w:tc>
          <w:tcPr>
            <w:tcW w:type="dxa" w:w="18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60 Pontos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color w:val="000000"/>
          <w:sz w:val="24"/>
          <w:szCs w:val="24"/>
        </w:rPr>
        <w:t>Fórmula de cálculo do Índice de Credenciamento (IC):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color w:val="000000"/>
          <w:sz w:val="24"/>
          <w:szCs w:val="24"/>
        </w:rPr>
        <w:t>IR = P1*0.2 + P2*0.2 + P3*0.4 + P4*0.2</w:t>
      </w:r>
    </w:p>
    <w:p>
      <w:pPr>
        <w:pStyle w:val="style0"/>
      </w:pPr>
      <w:r>
        <w:rPr>
          <w:rFonts w:cs="Times New Roman"/>
          <w:b/>
          <w:color w:val="000000"/>
        </w:rPr>
      </w:r>
    </w:p>
    <w:p>
      <w:pPr>
        <w:pStyle w:val="style0"/>
      </w:pPr>
      <w:r>
        <w:rPr>
          <w:rFonts w:cs="Times New Roman"/>
          <w:b/>
          <w:color w:val="000000"/>
        </w:rPr>
      </w:r>
    </w:p>
    <w:p>
      <w:pPr>
        <w:pStyle w:val="style0"/>
      </w:pPr>
      <w:r>
        <w:rPr/>
      </w:r>
    </w:p>
    <w:tbl>
      <w:tblPr>
        <w:jc w:val="left"/>
        <w:tblInd w:type="dxa" w:w="113"/>
        <w:tblBorders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8897"/>
      </w:tblGrid>
      <w:tr>
        <w:trPr>
          <w:cantSplit w:val="false"/>
        </w:trPr>
        <w:tc>
          <w:tcPr>
            <w:tcW w:type="dxa" w:w="8897"/>
            <w:gridSpan w:val="3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0"/>
              <w:pageBreakBefore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b/>
                <w:color w:val="000000"/>
              </w:rPr>
              <w:t>ANEXO VIII</w:t>
            </w:r>
          </w:p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LISTA DE DISCIPLINA OBRIGATÓRIA E OPTATIVA EXISTENTE NO PROGRAMA</w:t>
            </w:r>
          </w:p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9" w:name="__UnoMark__2148_671967757"/>
            <w:bookmarkStart w:id="40" w:name="__UnoMark__2148_671967757"/>
            <w:bookmarkEnd w:id="40"/>
            <w:r>
              <w:rPr/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1" w:name="__UnoMark__2149_671967757"/>
            <w:bookmarkEnd w:id="41"/>
            <w:r>
              <w:rPr>
                <w:rStyle w:val="style21"/>
                <w:rFonts w:cs="Times New Roman"/>
                <w:b/>
                <w:bCs/>
                <w:color w:val="000000"/>
                <w:sz w:val="20"/>
                <w:szCs w:val="20"/>
              </w:rPr>
              <w:t>I) MÓDULO DE NÚCLEO COMUM – MNC</w:t>
            </w:r>
            <w:bookmarkStart w:id="42" w:name="__UnoMark__2150_671967757"/>
            <w:bookmarkEnd w:id="42"/>
            <w:r>
              <w:rPr>
                <w:rStyle w:val="style21"/>
                <w:rFonts w:cs="Times New Roman"/>
                <w:color w:val="000000"/>
                <w:sz w:val="20"/>
                <w:szCs w:val="20"/>
              </w:rPr>
              <w:t>: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3" w:name="__UnoMark__2151_671967757"/>
            <w:bookmarkStart w:id="44" w:name="__UnoMark__2152_671967757"/>
            <w:bookmarkEnd w:id="43"/>
            <w:bookmarkEnd w:id="44"/>
            <w:r>
              <w:rPr>
                <w:rFonts w:cs="Times New Roman"/>
                <w:b/>
                <w:color w:val="000000"/>
                <w:sz w:val="20"/>
                <w:szCs w:val="20"/>
              </w:rPr>
              <w:t>Disciplina do Curso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5" w:name="__UnoMark__2153_671967757"/>
            <w:bookmarkStart w:id="46" w:name="__UnoMark__2154_671967757"/>
            <w:bookmarkEnd w:id="45"/>
            <w:bookmarkEnd w:id="46"/>
            <w:r>
              <w:rPr>
                <w:rFonts w:cs="Times New Roman"/>
                <w:b/>
                <w:color w:val="000000"/>
                <w:sz w:val="20"/>
                <w:szCs w:val="20"/>
              </w:rPr>
              <w:t>Obrigatória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7" w:name="__UnoMark__2155_671967757"/>
            <w:bookmarkStart w:id="48" w:name="__UnoMark__2156_671967757"/>
            <w:bookmarkEnd w:id="47"/>
            <w:bookmarkEnd w:id="48"/>
            <w:r>
              <w:rPr>
                <w:rFonts w:cs="Times New Roman"/>
                <w:b/>
                <w:color w:val="000000"/>
                <w:sz w:val="20"/>
                <w:szCs w:val="20"/>
              </w:rPr>
              <w:t>Ementa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9" w:name="__UnoMark__2157_671967757"/>
            <w:bookmarkStart w:id="50" w:name="__UnoMark__2158_671967757"/>
            <w:bookmarkEnd w:id="49"/>
            <w:bookmarkEnd w:id="50"/>
            <w:r>
              <w:rPr>
                <w:rFonts w:cs="Times New Roman"/>
                <w:color w:val="000000"/>
                <w:sz w:val="20"/>
                <w:szCs w:val="20"/>
              </w:rPr>
              <w:t>Desenvolvimento Sustentável e o Contexto Amazônico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1" w:name="__UnoMark__2159_671967757"/>
            <w:bookmarkStart w:id="52" w:name="__UnoMark__2160_671967757"/>
            <w:bookmarkEnd w:id="51"/>
            <w:bookmarkEnd w:id="52"/>
            <w:r>
              <w:rPr>
                <w:rFonts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3" w:name="__UnoMark__2161_671967757"/>
            <w:bookmarkStart w:id="54" w:name="__UnoMark__2162_671967757"/>
            <w:bookmarkEnd w:id="53"/>
            <w:bookmarkEnd w:id="54"/>
            <w:r>
              <w:rPr>
                <w:rFonts w:cs="Times New Roman" w:eastAsia="Calibri"/>
                <w:color w:val="000000"/>
                <w:sz w:val="20"/>
                <w:szCs w:val="20"/>
              </w:rPr>
              <w:t>Introdução ao desenvolvimento sustentável. Contexto histórico da sustentabilidade. Conceitos sobre sustentabilidade e desenvolvimento sustentável. Complexidade e sustentabilidade. Sustentabilidade e crescimento. Sustentabilidade e consumo. As diferentes visões da sustentabilidade: Economia, Sociedade, Ciência e Tecnologia. O local, o regional e o global. Sustentabilidade e Políticas Públicas.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5" w:name="__UnoMark__2163_671967757"/>
            <w:bookmarkStart w:id="56" w:name="__UnoMark__2164_671967757"/>
            <w:bookmarkEnd w:id="55"/>
            <w:bookmarkEnd w:id="56"/>
            <w:r>
              <w:rPr>
                <w:rFonts w:cs="Times New Roman"/>
                <w:color w:val="000000"/>
                <w:sz w:val="20"/>
                <w:szCs w:val="20"/>
              </w:rPr>
              <w:t>Territórios, Ambiente e Saúde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7" w:name="__UnoMark__2165_671967757"/>
            <w:bookmarkStart w:id="58" w:name="__UnoMark__2166_671967757"/>
            <w:bookmarkEnd w:id="57"/>
            <w:bookmarkEnd w:id="58"/>
            <w:r>
              <w:rPr>
                <w:rFonts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9" w:name="__UnoMark__2167_671967757"/>
            <w:bookmarkEnd w:id="59"/>
            <w:r>
              <w:rPr>
                <w:rFonts w:cs="Times New Roman" w:eastAsia="Calibri"/>
                <w:color w:val="000000"/>
                <w:sz w:val="20"/>
                <w:szCs w:val="20"/>
              </w:rPr>
              <w:t xml:space="preserve">Concentração e desconcentração espacial; Redes e fluxos no espaço geográfico brasileiro. O território brasileiro e o processo Saúde-Doença; Iniquidades territoriais no acesso/uso dos serviços de saúde do Sistema Único de Saúde (SUS); território e saúde. A </w:t>
            </w:r>
            <w:bookmarkStart w:id="60" w:name="__UnoMark__2168_671967757"/>
            <w:bookmarkEnd w:id="60"/>
            <w:r>
              <w:rPr>
                <w:rFonts w:cs="Times New Roman" w:eastAsia="Calibri"/>
                <w:color w:val="000000"/>
                <w:sz w:val="20"/>
                <w:szCs w:val="20"/>
                <w:lang w:eastAsia="pt-BR"/>
              </w:rPr>
              <w:t>construção do conhecimento sobre as relações entre o homem e o ambiente (natural e antrópico), enfocando, particularmente, o impacto deste sobre o binômio saúde/doença da população. Isto significa estudar os modos como se construiu histórica e socialmente os conceitos de saúde individual e coletiva e de ambiente. As relações interdisciplinares entre estes dois campos ganham relevância à medida que se estabelecem correspondências entre as doenças emergentes e re-emergentes e as alterações ambientais.</w:t>
            </w:r>
          </w:p>
        </w:tc>
      </w:tr>
      <w:tr>
        <w:trPr>
          <w:trHeight w:hRule="atLeast" w:val="1621"/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1" w:name="__UnoMark__2169_671967757"/>
            <w:bookmarkStart w:id="62" w:name="__UnoMark__2170_671967757"/>
            <w:bookmarkEnd w:id="61"/>
            <w:bookmarkEnd w:id="62"/>
            <w:r>
              <w:rPr>
                <w:rFonts w:cs="Times New Roman"/>
                <w:color w:val="000000"/>
                <w:sz w:val="20"/>
                <w:szCs w:val="20"/>
              </w:rPr>
              <w:t>Seminário de Pesquisa Interdisciplinar I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3" w:name="__UnoMark__2171_671967757"/>
            <w:bookmarkStart w:id="64" w:name="__UnoMark__2172_671967757"/>
            <w:bookmarkEnd w:id="63"/>
            <w:bookmarkEnd w:id="64"/>
            <w:r>
              <w:rPr>
                <w:rFonts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5" w:name="__UnoMark__2173_671967757"/>
            <w:bookmarkStart w:id="66" w:name="__UnoMark__2174_671967757"/>
            <w:bookmarkEnd w:id="65"/>
            <w:bookmarkEnd w:id="66"/>
            <w:r>
              <w:rPr>
                <w:rFonts w:cs="Times New Roman" w:eastAsia="Calibri"/>
                <w:color w:val="000000"/>
                <w:sz w:val="20"/>
                <w:szCs w:val="20"/>
              </w:rPr>
              <w:t>Dialogar sobre as possibilidades e limites das abordagens disciplinar, multidisciplinar, interdisciplinar e transdisciplinar em construções epistemológicas, teóricas e metodológicas, levando em consideração a diversidade e os saberes locais, meios de vida, em contextos de complexidade. Realizar diagnóstico em território, identificando temáticas de pesquisa na área/linhas do Programa, para consolidação dos Projetos, podendo resultar na redefinição do objeto, problema, objetivos e procedimentos para a realização das atividades de campo. Discute métodos e técnicas de pesquisa gerais e específicas articulados aos objetos de estudo dos pós-graduandos, levando em consideração as sugestões dos seus respectivos orientadores.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7" w:name="__UnoMark__2175_671967757"/>
            <w:bookmarkStart w:id="68" w:name="__UnoMark__2176_671967757"/>
            <w:bookmarkEnd w:id="67"/>
            <w:bookmarkEnd w:id="68"/>
            <w:r>
              <w:rPr>
                <w:rFonts w:cs="Times New Roman"/>
                <w:color w:val="000000"/>
                <w:sz w:val="20"/>
                <w:szCs w:val="20"/>
              </w:rPr>
              <w:t>Seminário de Pesquisa Interdisciplinar II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9" w:name="__UnoMark__2177_671967757"/>
            <w:bookmarkStart w:id="70" w:name="__UnoMark__2178_671967757"/>
            <w:bookmarkEnd w:id="69"/>
            <w:bookmarkEnd w:id="70"/>
            <w:r>
              <w:rPr>
                <w:rFonts w:cs="Times New Roman"/>
                <w:color w:val="000000"/>
                <w:sz w:val="20"/>
                <w:szCs w:val="20"/>
              </w:rPr>
              <w:t>SIM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1" w:name="__UnoMark__2179_671967757"/>
            <w:bookmarkStart w:id="72" w:name="__UnoMark__2180_671967757"/>
            <w:bookmarkEnd w:id="71"/>
            <w:bookmarkEnd w:id="72"/>
            <w:r>
              <w:rPr>
                <w:rFonts w:cs="Times New Roman" w:eastAsia="Calibri"/>
                <w:color w:val="000000"/>
                <w:sz w:val="20"/>
                <w:szCs w:val="20"/>
              </w:rPr>
              <w:t>Aprofundar conceitos em uso e noções centrais da pesquisa interdisciplinar: técnicas de pesquisa qualitativa e quantitativa. Consiste na pesquisa exploratória, subsidiado pelo diagnóstico e pelo levantamento e síntese de dados já coletados. Apresentação e debate dos produtos coletivos com indicações que articulem os projetos de dissertações individuais. Nesse contexto, são objetivos da disciplina: consolidar e apresentar o diagnóstico evidenciando problemáticas de pesquisa articulando as duas linhas de pesquisa do Curso. Esta atividade contará com a participação de um professor de cada linha de pesquisa do Curso e também com o envolvimento dos demais para dialogar com os mestrandos sobre seus projetos de pesquisa.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3" w:name="__UnoMark__2181_671967757"/>
            <w:bookmarkEnd w:id="73"/>
            <w:r>
              <w:rPr>
                <w:rStyle w:val="style21"/>
                <w:rFonts w:cs="Times New Roman"/>
                <w:b/>
                <w:bCs/>
                <w:color w:val="000000"/>
                <w:sz w:val="20"/>
                <w:szCs w:val="20"/>
              </w:rPr>
              <w:t>II) MÓDULO DE NÚCLEO ESPECIFICO</w:t>
            </w:r>
            <w:bookmarkStart w:id="74" w:name="__UnoMark__2182_671967757"/>
            <w:bookmarkEnd w:id="74"/>
            <w:r>
              <w:rPr>
                <w:rStyle w:val="style21"/>
                <w:rFonts w:cs="Times New Roman"/>
                <w:color w:val="000000"/>
                <w:sz w:val="20"/>
                <w:szCs w:val="20"/>
              </w:rPr>
              <w:t>: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5" w:name="__UnoMark__2183_671967757"/>
            <w:bookmarkStart w:id="76" w:name="__UnoMark__2184_671967757"/>
            <w:bookmarkEnd w:id="75"/>
            <w:bookmarkEnd w:id="76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Linha de Pesquisa 1: POLÍTICAS PÚBLICAS, DIVERSIDADE CULTURAL E DESENVOLVIMENTO AMAZÔNICO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7" w:name="__UnoMark__2185_671967757"/>
            <w:bookmarkStart w:id="78" w:name="__UnoMark__2186_671967757"/>
            <w:bookmarkEnd w:id="77"/>
            <w:bookmarkEnd w:id="78"/>
            <w:r>
              <w:rPr>
                <w:rFonts w:cs="Times New Roman"/>
                <w:b/>
                <w:color w:val="000000"/>
                <w:sz w:val="20"/>
                <w:szCs w:val="20"/>
              </w:rPr>
              <w:t>Disciplina do Curso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9" w:name="__UnoMark__2187_671967757"/>
            <w:bookmarkStart w:id="80" w:name="__UnoMark__2188_671967757"/>
            <w:bookmarkEnd w:id="79"/>
            <w:bookmarkEnd w:id="80"/>
            <w:r>
              <w:rPr>
                <w:rFonts w:cs="Times New Roman"/>
                <w:b/>
                <w:color w:val="000000"/>
                <w:sz w:val="20"/>
                <w:szCs w:val="20"/>
              </w:rPr>
              <w:t>Obrigatória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1" w:name="__UnoMark__2189_671967757"/>
            <w:bookmarkStart w:id="82" w:name="__UnoMark__2190_671967757"/>
            <w:bookmarkEnd w:id="81"/>
            <w:bookmarkEnd w:id="82"/>
            <w:r>
              <w:rPr>
                <w:rFonts w:cs="Times New Roman"/>
                <w:b/>
                <w:color w:val="000000"/>
                <w:sz w:val="20"/>
                <w:szCs w:val="20"/>
              </w:rPr>
              <w:t>Ementa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3" w:name="__UnoMark__2191_671967757"/>
            <w:bookmarkStart w:id="84" w:name="__UnoMark__2192_671967757"/>
            <w:bookmarkEnd w:id="83"/>
            <w:bookmarkEnd w:id="84"/>
            <w:r>
              <w:rPr>
                <w:rFonts w:cs="Times New Roman"/>
                <w:color w:val="000000"/>
                <w:sz w:val="20"/>
                <w:szCs w:val="20"/>
              </w:rPr>
              <w:t>Dinâmica da Agricultura, Meio Ambiente e Desenvolvimento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5" w:name="__UnoMark__2193_671967757"/>
            <w:bookmarkStart w:id="86" w:name="__UnoMark__2194_671967757"/>
            <w:bookmarkEnd w:id="85"/>
            <w:bookmarkEnd w:id="86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7" w:name="__UnoMark__2195_671967757"/>
            <w:bookmarkStart w:id="88" w:name="__UnoMark__2196_671967757"/>
            <w:bookmarkEnd w:id="87"/>
            <w:bookmarkEnd w:id="88"/>
            <w:r>
              <w:rPr>
                <w:rFonts w:cs="Times New Roman" w:eastAsia="Calibri"/>
                <w:color w:val="000000"/>
                <w:sz w:val="20"/>
                <w:szCs w:val="20"/>
              </w:rPr>
              <w:t>Processos e práticas agrícolas e suas implicações ao desenvolvimento territorial rural sob a perspectiva da sustentabilidade. Valorização dos produtos da agricultura familiar e utilização de recursos no território. Multifuncionalidade e pluriatividade no meio rural. Agroindustria e agregação de valor. Comércio justo e redes de comercialização. Valorização do espaço rural.</w:t>
            </w:r>
          </w:p>
        </w:tc>
      </w:tr>
      <w:tr>
        <w:trPr>
          <w:trHeight w:hRule="atLeast" w:val="1021"/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9" w:name="__UnoMark__2197_671967757"/>
            <w:bookmarkStart w:id="90" w:name="__UnoMark__2198_671967757"/>
            <w:bookmarkEnd w:id="89"/>
            <w:bookmarkEnd w:id="90"/>
            <w:r>
              <w:rPr>
                <w:rFonts w:cs="Times New Roman"/>
                <w:color w:val="000000"/>
                <w:sz w:val="20"/>
                <w:szCs w:val="20"/>
              </w:rPr>
              <w:t>Educação, Tecnologias e Desenvolvimento Amazônico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1" w:name="__UnoMark__2199_671967757"/>
            <w:bookmarkStart w:id="92" w:name="__UnoMark__2200_671967757"/>
            <w:bookmarkEnd w:id="91"/>
            <w:bookmarkEnd w:id="92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3" w:name="__UnoMark__2201_671967757"/>
            <w:bookmarkStart w:id="94" w:name="__UnoMark__2202_671967757"/>
            <w:bookmarkEnd w:id="93"/>
            <w:bookmarkEnd w:id="94"/>
            <w:r>
              <w:rPr>
                <w:rFonts w:cs="Times New Roman" w:eastAsia="Calibri"/>
                <w:color w:val="000000"/>
                <w:sz w:val="20"/>
                <w:szCs w:val="20"/>
                <w:lang w:eastAsia="pt-BR"/>
              </w:rPr>
              <w:t>Características socioambientais e educação amazônica. Conteúdos educacionais e o contexto amazônico. Formação de professores na Amazônica: sistemas educativos, características e processos. Políticas de Formação e Amazônia. Estudos e Pesquisas sobre o tema.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5" w:name="__UnoMark__2203_671967757"/>
            <w:bookmarkStart w:id="96" w:name="__UnoMark__2204_671967757"/>
            <w:bookmarkEnd w:id="95"/>
            <w:bookmarkEnd w:id="96"/>
            <w:r>
              <w:rPr>
                <w:rFonts w:cs="Times New Roman"/>
                <w:color w:val="000000"/>
                <w:sz w:val="20"/>
                <w:szCs w:val="20"/>
              </w:rPr>
              <w:t>Introdução à Sociologia Ambiental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7" w:name="__UnoMark__2205_671967757"/>
            <w:bookmarkStart w:id="98" w:name="__UnoMark__2206_671967757"/>
            <w:bookmarkEnd w:id="97"/>
            <w:bookmarkEnd w:id="98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9" w:name="__UnoMark__2207_671967757"/>
            <w:bookmarkStart w:id="100" w:name="__UnoMark__2208_671967757"/>
            <w:bookmarkEnd w:id="99"/>
            <w:bookmarkEnd w:id="100"/>
            <w:r>
              <w:rPr>
                <w:rFonts w:cs="Times New Roman" w:eastAsia="Calibri"/>
                <w:color w:val="000000"/>
                <w:sz w:val="20"/>
                <w:szCs w:val="20"/>
              </w:rPr>
              <w:t>Conceitos fundamentais sociológicos; indivíduo, sociedade e meio ambiente: tópicos em sociologia; novas direções em estudos socioambientais; modernização ecológica: crescimento econômico e proteção ambiental: bases conceituais para o estabelecimento de padrões sociais de qualidade de vida; teorias sobre a sustentabilidade; sustentabilidade: sociologia, democracia e justiça; bens públicos e bens públicos globais; capital natural crítico; sociedade de risco, política ecológica e qualidade de vida.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1" w:name="__UnoMark__2209_671967757"/>
            <w:bookmarkStart w:id="102" w:name="__UnoMark__2210_671967757"/>
            <w:bookmarkEnd w:id="101"/>
            <w:bookmarkEnd w:id="102"/>
            <w:r>
              <w:rPr>
                <w:rFonts w:cs="Times New Roman"/>
                <w:color w:val="000000"/>
                <w:sz w:val="20"/>
                <w:szCs w:val="20"/>
              </w:rPr>
              <w:t>Agroecossistemas Tropicais Sustentáveis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3" w:name="__UnoMark__2211_671967757"/>
            <w:bookmarkStart w:id="104" w:name="__UnoMark__2212_671967757"/>
            <w:bookmarkEnd w:id="103"/>
            <w:bookmarkEnd w:id="104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5" w:name="__UnoMark__2213_671967757"/>
            <w:bookmarkStart w:id="106" w:name="__UnoMark__2214_671967757"/>
            <w:bookmarkEnd w:id="105"/>
            <w:bookmarkEnd w:id="106"/>
            <w:r>
              <w:rPr>
                <w:rFonts w:cs="Times New Roman" w:eastAsia="Calibri"/>
                <w:color w:val="000000"/>
                <w:sz w:val="20"/>
                <w:szCs w:val="20"/>
              </w:rPr>
              <w:t>Conceituação e classificação de ecossistema e agroecossistema tropicais. Hierarquia de sistemas. Teoria de sistemas e sua aplicação na agricultura. Componentes de agroecossistemas. Metodologias de planejamento, descrição, análise e monitoramento de agroecossistemas. A abordagem sistêmica na pesquisa e difusão de conhecimento. Aspectos sociais e econômicos de agroecossistemas.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7" w:name="__UnoMark__2215_671967757"/>
            <w:bookmarkStart w:id="108" w:name="__UnoMark__2216_671967757"/>
            <w:bookmarkEnd w:id="107"/>
            <w:bookmarkEnd w:id="108"/>
            <w:r>
              <w:rPr>
                <w:rFonts w:cs="Times New Roman"/>
                <w:color w:val="000000"/>
                <w:sz w:val="20"/>
                <w:szCs w:val="20"/>
              </w:rPr>
              <w:t>Culturas e Identidades na Amazônia: Memória e Sociedade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9" w:name="__UnoMark__2217_671967757"/>
            <w:bookmarkStart w:id="110" w:name="__UnoMark__2218_671967757"/>
            <w:bookmarkEnd w:id="109"/>
            <w:bookmarkEnd w:id="110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1" w:name="__UnoMark__2219_671967757"/>
            <w:bookmarkStart w:id="112" w:name="__UnoMark__2220_671967757"/>
            <w:bookmarkEnd w:id="111"/>
            <w:bookmarkEnd w:id="112"/>
            <w:r>
              <w:rPr>
                <w:rFonts w:cs="Times New Roman"/>
                <w:color w:val="000000"/>
                <w:sz w:val="20"/>
                <w:szCs w:val="20"/>
              </w:rPr>
              <w:t>Estudos teórico-científicos da formação do conceito de cultura, sua importância, abrangência e Limites. Investigações e reflexões sobre a cultura brasileira e amazônica. Relações entre Culturas, Identidades e Memórias na Amazônia. A constituição dos sujeitos sociais amazônicos: sociedades indígenas, sociedades europeias, sociedades afros, sociedades asiáticas. A história dos encontros e confrontos culturais (século XVII-XXI). “Ciclos” econômicos, transformações ambientais e sociais amazônicas e a complexificação das culturas na região. Mitos, ritos, símbolos e a espiritualidade amazônica: história, literatura e memória. Cultura oral e escrita: erudito e popular. Patrimonialidades da Amazônia: cultural, Histórica, Natural e Memorial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3" w:name="__UnoMark__2221_671967757"/>
            <w:bookmarkStart w:id="114" w:name="__UnoMark__2222_671967757"/>
            <w:bookmarkEnd w:id="113"/>
            <w:bookmarkEnd w:id="114"/>
            <w:r>
              <w:rPr>
                <w:rFonts w:cs="Times New Roman"/>
                <w:color w:val="000000"/>
                <w:sz w:val="20"/>
                <w:szCs w:val="20"/>
              </w:rPr>
              <w:t>Educação Ambiental na Amazônia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5" w:name="__UnoMark__2223_671967757"/>
            <w:bookmarkStart w:id="116" w:name="__UnoMark__2224_671967757"/>
            <w:bookmarkEnd w:id="115"/>
            <w:bookmarkEnd w:id="116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7" w:name="__UnoMark__2225_671967757"/>
            <w:bookmarkStart w:id="118" w:name="__UnoMark__2226_671967757"/>
            <w:bookmarkEnd w:id="117"/>
            <w:bookmarkEnd w:id="118"/>
            <w:r>
              <w:rPr>
                <w:rFonts w:cs="Times New Roman" w:eastAsia="Calibri"/>
                <w:bCs/>
                <w:color w:val="000000"/>
                <w:sz w:val="20"/>
                <w:szCs w:val="20"/>
              </w:rPr>
              <w:t>Conceitos, objetivos, princípios e fundamentos da Educação Ambiental. As bases da educação ambiental: suas relações com as ciências naturais e as ciências sociais. Política nacional de educação ambiental. Educação Ambiental na Amazônia. A contribuição da educação ambiental à conservação dos recursos naturais, dos ecossistemas amazônicos e ao desenvolvimento sustentável da região. Estudo de casos.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9" w:name="__UnoMark__2227_671967757"/>
            <w:bookmarkStart w:id="120" w:name="__UnoMark__2228_671967757"/>
            <w:bookmarkEnd w:id="119"/>
            <w:bookmarkEnd w:id="120"/>
            <w:r>
              <w:rPr>
                <w:rFonts w:cs="Times New Roman"/>
                <w:color w:val="000000"/>
                <w:sz w:val="20"/>
                <w:szCs w:val="20"/>
              </w:rPr>
              <w:t>Tópicos Especiais em Contaminantes Químicos no Ambiente e Desenvolvimento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1" w:name="__UnoMark__2229_671967757"/>
            <w:bookmarkStart w:id="122" w:name="__UnoMark__2230_671967757"/>
            <w:bookmarkEnd w:id="121"/>
            <w:bookmarkEnd w:id="122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3" w:name="__UnoMark__2231_671967757"/>
            <w:bookmarkStart w:id="124" w:name="__UnoMark__2232_671967757"/>
            <w:bookmarkEnd w:id="123"/>
            <w:bookmarkEnd w:id="124"/>
            <w:r>
              <w:rPr>
                <w:rFonts w:cs="Times New Roman" w:eastAsia="Calibri"/>
                <w:color w:val="000000"/>
                <w:sz w:val="20"/>
                <w:szCs w:val="20"/>
              </w:rPr>
              <w:t>Introdução a química ambiental, toxicidade dos elementos químicos no meio ambiente, ecotoxicologia, poluentes orgânicos, pesticidas, a natureza e uso dos agroquímicos, poeiras do mundo, nano-partículas no meio-ambiente,  resíduos de minas e estratégias para remediação, adequação de minerais para restauro controlado da paisagem e bacias de rejeitos, química verde,   soluções verdes para remediação, materiais para uma economia sustentável, políticas públicas ambientais.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5" w:name="__UnoMark__2233_671967757"/>
            <w:bookmarkStart w:id="126" w:name="__UnoMark__2234_671967757"/>
            <w:bookmarkEnd w:id="125"/>
            <w:bookmarkEnd w:id="126"/>
            <w:r>
              <w:rPr>
                <w:rFonts w:cs="Times New Roman"/>
                <w:color w:val="000000"/>
                <w:sz w:val="20"/>
                <w:szCs w:val="20"/>
              </w:rPr>
              <w:t>Dano Ambiental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7" w:name="__UnoMark__2235_671967757"/>
            <w:bookmarkStart w:id="128" w:name="__UnoMark__2236_671967757"/>
            <w:bookmarkEnd w:id="127"/>
            <w:bookmarkEnd w:id="128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9" w:name="__UnoMark__2237_671967757"/>
            <w:bookmarkStart w:id="130" w:name="__UnoMark__2238_671967757"/>
            <w:bookmarkEnd w:id="129"/>
            <w:bookmarkEnd w:id="130"/>
            <w:r>
              <w:rPr>
                <w:rFonts w:cs="Times New Roman" w:eastAsia="Calibri"/>
                <w:color w:val="000000"/>
                <w:sz w:val="20"/>
                <w:szCs w:val="20"/>
              </w:rPr>
              <w:t>Meio Ambiente e a Legislação Brasileira. Princípio da precaução. Bem ambiental: uso de recursos hídricos e florestais no Brasil. Conceitos e tipos de dano ambiental. Reparação de dano ambiental: aspectos legais e biológicos. Estudos de Casos.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1" w:name="__UnoMark__2239_671967757"/>
            <w:bookmarkStart w:id="132" w:name="__UnoMark__2240_671967757"/>
            <w:bookmarkEnd w:id="131"/>
            <w:bookmarkEnd w:id="132"/>
            <w:r>
              <w:rPr>
                <w:rFonts w:cs="Times New Roman"/>
                <w:color w:val="000000"/>
                <w:sz w:val="20"/>
                <w:szCs w:val="20"/>
              </w:rPr>
              <w:t>Qualidade de Vida e Bem Estar Subjetivo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3" w:name="__UnoMark__2241_671967757"/>
            <w:bookmarkStart w:id="134" w:name="__UnoMark__2242_671967757"/>
            <w:bookmarkEnd w:id="133"/>
            <w:bookmarkEnd w:id="134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5" w:name="__UnoMark__2243_671967757"/>
            <w:bookmarkStart w:id="136" w:name="__UnoMark__2244_671967757"/>
            <w:bookmarkEnd w:id="135"/>
            <w:bookmarkEnd w:id="136"/>
            <w:r>
              <w:rPr>
                <w:rFonts w:cs="Times New Roman" w:eastAsia="Calibri"/>
                <w:bCs/>
                <w:color w:val="000000"/>
                <w:sz w:val="20"/>
                <w:szCs w:val="20"/>
              </w:rPr>
              <w:t>Conceituações, Indicadores de saúde, Concepções sobre a Saúde, Qualidade de Vida e Bem-Estar Subjetivo; Sua avaliação e medida. Cognição e afeto no bem-estar subjetivo. Teorias psicossociais e sua relação com o bem-estar subjetivo. Aplicações de bem-estar subjetivo na família, trabalho, saúde, lazer, escola e comunidades. As psicoterapias e o bem-estar subjetivo. Fatores psicossociais do bem-estar pessoal.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7" w:name="__UnoMark__2245_671967757"/>
            <w:bookmarkStart w:id="138" w:name="__UnoMark__2246_671967757"/>
            <w:bookmarkEnd w:id="137"/>
            <w:bookmarkEnd w:id="138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Linha de Pesquisa 2: BIODIVERSIDADE, SAÚDE E SUSTENTABILIDADE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9" w:name="__UnoMark__2247_671967757"/>
            <w:bookmarkStart w:id="140" w:name="__UnoMark__2248_671967757"/>
            <w:bookmarkEnd w:id="139"/>
            <w:bookmarkEnd w:id="140"/>
            <w:r>
              <w:rPr>
                <w:rFonts w:cs="Times New Roman"/>
                <w:b/>
                <w:color w:val="000000"/>
                <w:sz w:val="20"/>
                <w:szCs w:val="20"/>
              </w:rPr>
              <w:t>Disciplina do Curso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1" w:name="__UnoMark__2249_671967757"/>
            <w:bookmarkStart w:id="142" w:name="__UnoMark__2250_671967757"/>
            <w:bookmarkEnd w:id="141"/>
            <w:bookmarkEnd w:id="142"/>
            <w:r>
              <w:rPr>
                <w:rFonts w:cs="Times New Roman"/>
                <w:b/>
                <w:color w:val="000000"/>
                <w:sz w:val="20"/>
                <w:szCs w:val="20"/>
              </w:rPr>
              <w:t>Obrigatória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3" w:name="__UnoMark__2251_671967757"/>
            <w:bookmarkStart w:id="144" w:name="__UnoMark__2252_671967757"/>
            <w:bookmarkEnd w:id="143"/>
            <w:bookmarkEnd w:id="144"/>
            <w:r>
              <w:rPr>
                <w:rFonts w:cs="Times New Roman"/>
                <w:b/>
                <w:color w:val="000000"/>
                <w:sz w:val="20"/>
                <w:szCs w:val="20"/>
              </w:rPr>
              <w:t>Ementa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5" w:name="__UnoMark__2253_671967757"/>
            <w:bookmarkStart w:id="146" w:name="__UnoMark__2254_671967757"/>
            <w:bookmarkEnd w:id="145"/>
            <w:bookmarkEnd w:id="146"/>
            <w:r>
              <w:rPr>
                <w:rFonts w:cs="Times New Roman"/>
                <w:color w:val="000000"/>
                <w:sz w:val="20"/>
                <w:szCs w:val="20"/>
              </w:rPr>
              <w:t>Biodiversidade e Conceitos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7" w:name="__UnoMark__2255_671967757"/>
            <w:bookmarkStart w:id="148" w:name="__UnoMark__2256_671967757"/>
            <w:bookmarkEnd w:id="147"/>
            <w:bookmarkEnd w:id="148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9" w:name="__UnoMark__2257_671967757"/>
            <w:bookmarkStart w:id="150" w:name="__UnoMark__2258_671967757"/>
            <w:bookmarkEnd w:id="149"/>
            <w:bookmarkEnd w:id="150"/>
            <w:r>
              <w:rPr>
                <w:rFonts w:cs="Times New Roman" w:eastAsia="Calibri"/>
                <w:color w:val="000000"/>
                <w:sz w:val="20"/>
                <w:szCs w:val="20"/>
              </w:rPr>
              <w:t>Introdução a teorias e conceitos existentes para diferentes parâmetros de estudo da biodiversidade; conceito da biodiversidade; diversidade genética, em espécie e de comunidades e ecossistemas; níveis da organização biológica em diferentes sistemas; identificação dos processos evolutivos prevalecentes e a quantificação através de métodos bioquímicos e moleculares; importância da biodiversidade e sua conservação para o homem, incluindo bioética e as estratégias para manutenção do equilíbrio entre a conservação e exploração dos recursos biológicos (com estudos de caso); o valor da informação sobre a diversidade biológica, considerando a organização, disseminação e uso na educação, pesquisa e manejo; e noções gerais sobre ecologia e manejo de recursos naturais.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1" w:name="__UnoMark__2259_671967757"/>
            <w:bookmarkStart w:id="152" w:name="__UnoMark__2260_671967757"/>
            <w:bookmarkEnd w:id="151"/>
            <w:bookmarkEnd w:id="152"/>
            <w:r>
              <w:rPr>
                <w:rFonts w:cs="Times New Roman"/>
                <w:color w:val="000000"/>
                <w:sz w:val="20"/>
                <w:szCs w:val="20"/>
              </w:rPr>
              <w:t>Alimentação Saudável na Sociedade Contemporânea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3" w:name="__UnoMark__2261_671967757"/>
            <w:bookmarkStart w:id="154" w:name="__UnoMark__2262_671967757"/>
            <w:bookmarkEnd w:id="153"/>
            <w:bookmarkEnd w:id="154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5" w:name="__UnoMark__2263_671967757"/>
            <w:bookmarkStart w:id="156" w:name="__UnoMark__2264_671967757"/>
            <w:bookmarkEnd w:id="155"/>
            <w:bookmarkEnd w:id="156"/>
            <w:r>
              <w:rPr>
                <w:rFonts w:cs="Times New Roman" w:eastAsia="Calibri"/>
                <w:color w:val="000000"/>
                <w:sz w:val="20"/>
                <w:szCs w:val="20"/>
              </w:rPr>
              <w:t>Alimentação e a formação da sociedade. Alimentação, nutrição e desafios contemporâneos. Acordos internacionais sobre alimentação saudável e sua aplicabilidade em diferentes cenários. Alimentação culturalmente referenciada e sustentabilidade. Principais cadeias produtivas e o uso de recursos naturais para sua sustentação.</w:t>
            </w:r>
          </w:p>
        </w:tc>
      </w:tr>
      <w:tr>
        <w:trPr>
          <w:trHeight w:hRule="atLeast" w:val="561"/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7" w:name="__UnoMark__2265_671967757"/>
            <w:bookmarkStart w:id="158" w:name="__UnoMark__2266_671967757"/>
            <w:bookmarkEnd w:id="157"/>
            <w:bookmarkEnd w:id="158"/>
            <w:r>
              <w:rPr>
                <w:rFonts w:cs="Times New Roman"/>
                <w:color w:val="000000"/>
                <w:sz w:val="20"/>
                <w:szCs w:val="20"/>
              </w:rPr>
              <w:t>Serviços Ambientais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9" w:name="__UnoMark__2267_671967757"/>
            <w:bookmarkStart w:id="160" w:name="__UnoMark__2268_671967757"/>
            <w:bookmarkEnd w:id="159"/>
            <w:bookmarkEnd w:id="160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1" w:name="__UnoMark__2269_671967757"/>
            <w:bookmarkStart w:id="162" w:name="__UnoMark__2270_671967757"/>
            <w:bookmarkEnd w:id="161"/>
            <w:bookmarkEnd w:id="162"/>
            <w:r>
              <w:rPr>
                <w:rFonts w:cs="Times New Roman" w:eastAsia="Calibri"/>
                <w:color w:val="000000"/>
                <w:sz w:val="20"/>
                <w:szCs w:val="20"/>
              </w:rPr>
              <w:t>Conceitos e histórico. Classificação dos recursos naturais. Exploração dos Recursos Naturais Renováveis e Não-Renováveis. Serviços Ambientais x Serviços Ecossistêmicos. Tipos de serviços Ambientais. Pagamentos por Serviços Ambientais (PSA). Métodos de Valoração dos Recursos Naturais. Recursos Naturais versus Poluição. Mercado de Carbono. PSA e Conservação da Biodiversidade. Mecanismos políticos para solução de problemas ambientais. Mercado de bens e serviços ambientais. Estudos de caso.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3" w:name="__UnoMark__2271_671967757"/>
            <w:bookmarkStart w:id="164" w:name="__UnoMark__2272_671967757"/>
            <w:bookmarkEnd w:id="163"/>
            <w:bookmarkEnd w:id="164"/>
            <w:r>
              <w:rPr>
                <w:rFonts w:cs="Times New Roman"/>
                <w:color w:val="000000"/>
                <w:sz w:val="20"/>
                <w:szCs w:val="20"/>
              </w:rPr>
              <w:t>Gestão dos Recursos Naturais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5" w:name="__UnoMark__2273_671967757"/>
            <w:bookmarkStart w:id="166" w:name="__UnoMark__2274_671967757"/>
            <w:bookmarkEnd w:id="165"/>
            <w:bookmarkEnd w:id="166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7" w:name="__UnoMark__2275_671967757"/>
            <w:bookmarkStart w:id="168" w:name="__UnoMark__2276_671967757"/>
            <w:bookmarkEnd w:id="167"/>
            <w:bookmarkEnd w:id="168"/>
            <w:r>
              <w:rPr>
                <w:rFonts w:cs="Times New Roman" w:eastAsia="Calibri"/>
                <w:bCs/>
                <w:color w:val="000000"/>
                <w:sz w:val="20"/>
                <w:szCs w:val="20"/>
              </w:rPr>
              <w:t>Conceito de recurso natural. Relações seres humanos e natureza: gestão de recursos naturais e crise ambiental. Manejo dos recursos pelas comunidades tradicionais. Conceitos, princípios e limitações do desenvolvimento sustentável. Capacidade de resiliência e recuperação dos ecossistemas naturais. Princípios da Biologia da conservação e ecologia de populações. Gestão de recursos hídricos na Amazônia. Ecologia e manejo comunitário de animais aquáticos em águas de interior. Ecologia e manejo de produtos florestais, com ênfase nos produtos florestais não madeireiros. Gestão de áreas protegidas e manejo de recursos. Gestão ambiental de áreas degradadas. Estudo e monitoramento da exploração e manejo sustentável de recursos naturais: práticas, desafios, limitações.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9" w:name="__UnoMark__2277_671967757"/>
            <w:bookmarkStart w:id="170" w:name="__UnoMark__2278_671967757"/>
            <w:bookmarkEnd w:id="169"/>
            <w:bookmarkEnd w:id="170"/>
            <w:r>
              <w:rPr>
                <w:rFonts w:cs="Times New Roman"/>
                <w:color w:val="000000"/>
                <w:sz w:val="20"/>
                <w:szCs w:val="20"/>
              </w:rPr>
              <w:t>Bioprospecção e Propriedade Intelectual na Amazônia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1" w:name="__UnoMark__2279_671967757"/>
            <w:bookmarkStart w:id="172" w:name="__UnoMark__2280_671967757"/>
            <w:bookmarkEnd w:id="171"/>
            <w:bookmarkEnd w:id="172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3" w:name="__UnoMark__2281_671967757"/>
            <w:bookmarkStart w:id="174" w:name="__UnoMark__2282_671967757"/>
            <w:bookmarkEnd w:id="173"/>
            <w:bookmarkEnd w:id="174"/>
            <w:r>
              <w:rPr>
                <w:rFonts w:cs="Times New Roman" w:eastAsia="Calibri"/>
                <w:bCs/>
                <w:color w:val="000000"/>
                <w:sz w:val="20"/>
                <w:szCs w:val="20"/>
              </w:rPr>
              <w:t>Bioprospecção e biopirataria. Acesso a patrimônio genético e conhecimento tradicional associado. Propriedade intelectual: definição, áreas de abrangência e gestão. Estudos de caso na Amazônia.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5" w:name="__UnoMark__2283_671967757"/>
            <w:bookmarkStart w:id="176" w:name="__UnoMark__2284_671967757"/>
            <w:bookmarkEnd w:id="175"/>
            <w:bookmarkEnd w:id="176"/>
            <w:r>
              <w:rPr>
                <w:rFonts w:cs="Times New Roman"/>
                <w:color w:val="000000"/>
                <w:sz w:val="20"/>
                <w:szCs w:val="20"/>
              </w:rPr>
              <w:t>Ambiente, Saúde e Sustentabilidade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7" w:name="__UnoMark__2285_671967757"/>
            <w:bookmarkStart w:id="178" w:name="__UnoMark__2286_671967757"/>
            <w:bookmarkEnd w:id="177"/>
            <w:bookmarkEnd w:id="178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9" w:name="__UnoMark__2287_671967757"/>
            <w:bookmarkEnd w:id="179"/>
            <w:r>
              <w:rPr>
                <w:rFonts w:cs="Times New Roman"/>
                <w:color w:val="000000"/>
                <w:sz w:val="20"/>
                <w:szCs w:val="20"/>
              </w:rPr>
              <w:t>Conceituações e histórico de saúde ambiental. O ambiente, um determinante da saúde;</w:t>
            </w:r>
          </w:p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color w:val="000000"/>
                <w:sz w:val="20"/>
                <w:szCs w:val="20"/>
              </w:rPr>
              <w:t>Impactos ambientais na saúde humana; Riscos sanitários ligados ao ambiente; determinantes</w:t>
            </w:r>
          </w:p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color w:val="000000"/>
                <w:sz w:val="20"/>
                <w:szCs w:val="20"/>
              </w:rPr>
              <w:t>socioambientais da saúde. Problemas transfronteiriços e globais. Abrangências das Questões</w:t>
            </w:r>
          </w:p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80" w:name="__UnoMark__2288_671967757"/>
            <w:bookmarkEnd w:id="180"/>
            <w:r>
              <w:rPr>
                <w:rFonts w:cs="Times New Roman"/>
                <w:color w:val="000000"/>
                <w:sz w:val="20"/>
                <w:szCs w:val="20"/>
              </w:rPr>
              <w:t>Ambientais, Gestão de Risco, Estudos de Caso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81" w:name="__UnoMark__2289_671967757"/>
            <w:bookmarkStart w:id="182" w:name="__UnoMark__2290_671967757"/>
            <w:bookmarkEnd w:id="181"/>
            <w:bookmarkEnd w:id="182"/>
            <w:r>
              <w:rPr>
                <w:rFonts w:cs="Times New Roman"/>
                <w:color w:val="000000"/>
                <w:sz w:val="20"/>
                <w:szCs w:val="20"/>
              </w:rPr>
              <w:t>Tópicos Especiais em Ciências Ambientais e Saúde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83" w:name="__UnoMark__2291_671967757"/>
            <w:bookmarkStart w:id="184" w:name="__UnoMark__2292_671967757"/>
            <w:bookmarkEnd w:id="183"/>
            <w:bookmarkEnd w:id="184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85" w:name="__UnoMark__2293_671967757"/>
            <w:bookmarkStart w:id="186" w:name="__UnoMark__2294_671967757"/>
            <w:bookmarkEnd w:id="185"/>
            <w:bookmarkEnd w:id="186"/>
            <w:r>
              <w:rPr>
                <w:rFonts w:cs="Times New Roman" w:eastAsia="Calibri"/>
                <w:color w:val="000000"/>
                <w:sz w:val="20"/>
                <w:szCs w:val="20"/>
              </w:rPr>
              <w:t>Funcionamento dos ecossistemas amazônicos; Povoamento vegetal e animal e evolução natural e antrópica dos ambientes tropicais; Ciclos biogeoquímicos dos ecossistemas amazônicos; Utilização do meio ambiente pelos humanos; Estratégias sustentáveis e manutenção da biodiversidade. Este curso de campo favorecerá igualmente trocas culturais e intelectuais entre os estudantes quebequenses e brasileiros participantes.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87" w:name="__UnoMark__2295_671967757"/>
            <w:bookmarkStart w:id="188" w:name="__UnoMark__2296_671967757"/>
            <w:bookmarkEnd w:id="187"/>
            <w:bookmarkEnd w:id="188"/>
            <w:r>
              <w:rPr>
                <w:rFonts w:cs="Times New Roman"/>
                <w:color w:val="000000"/>
                <w:sz w:val="20"/>
                <w:szCs w:val="20"/>
              </w:rPr>
              <w:t>Aspectos Toxicológicos da Exposição Ambiental e Ocupacional aos Agentes Químicos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89" w:name="__UnoMark__2297_671967757"/>
            <w:bookmarkStart w:id="190" w:name="__UnoMark__2298_671967757"/>
            <w:bookmarkEnd w:id="189"/>
            <w:bookmarkEnd w:id="190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1" w:name="__UnoMark__2299_671967757"/>
            <w:bookmarkEnd w:id="191"/>
            <w:r>
              <w:rPr>
                <w:rFonts w:cs="Times New Roman" w:eastAsia="Calibri"/>
                <w:color w:val="000000"/>
                <w:sz w:val="20"/>
                <w:szCs w:val="20"/>
              </w:rPr>
              <w:t>Conceitos gerais de toxicologia (com ênfase na toxicocinética e toxicodinâmica). Ênfase para os agentes tóxicos importantes na Amazônia. Toxicologia dos Metais. Toxicologia dos agrotóxicos. Toxicologia dos solventes. Quadro clínico das intoxicações (agudas e crônicas), tratamento e diagnóstico clínico e laboratorial da exposição aos metais, agrotóxicos e solventes.   Biomonitoramento biológico da exposição da exposição aos agentes químicos mencionados com base na legislação. Questões analíticas (limitações, avanços e perspectivas) envolvendo o diagnóstico laboratorial de intoxicações agudas e crônicas bem como biomonitoramento biológico</w:t>
            </w:r>
            <w:bookmarkStart w:id="192" w:name="__UnoMark__2300_671967757"/>
            <w:bookmarkEnd w:id="192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>
        <w:trPr>
          <w:cantSplit w:val="false"/>
        </w:trPr>
        <w:tc>
          <w:tcPr>
            <w:tcW w:type="dxa" w:w="19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3" w:name="__UnoMark__2301_671967757"/>
            <w:bookmarkStart w:id="194" w:name="__UnoMark__2302_671967757"/>
            <w:bookmarkEnd w:id="193"/>
            <w:bookmarkEnd w:id="194"/>
            <w:r>
              <w:rPr>
                <w:rFonts w:cs="Times New Roman"/>
                <w:color w:val="000000"/>
                <w:sz w:val="20"/>
                <w:szCs w:val="20"/>
              </w:rPr>
              <w:t>Relações Sociedade, Natureza e Saúde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5" w:name="__UnoMark__2303_671967757"/>
            <w:bookmarkStart w:id="196" w:name="__UnoMark__2304_671967757"/>
            <w:bookmarkEnd w:id="195"/>
            <w:bookmarkEnd w:id="196"/>
            <w:r>
              <w:rPr>
                <w:rFonts w:cs="Times New Roman"/>
                <w:color w:val="000000"/>
                <w:sz w:val="20"/>
                <w:szCs w:val="20"/>
              </w:rPr>
              <w:t>NÃO</w:t>
            </w:r>
          </w:p>
        </w:tc>
        <w:tc>
          <w:tcPr>
            <w:tcW w:type="dxa" w:w="56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7" w:name="__UnoMark__2305_671967757"/>
            <w:bookmarkEnd w:id="197"/>
            <w:r>
              <w:rPr>
                <w:rFonts w:cs="Times New Roman"/>
                <w:color w:val="000000"/>
                <w:sz w:val="20"/>
                <w:szCs w:val="20"/>
              </w:rPr>
              <w:t>Relações sociedade e natureza: múltiplas abordagens e questões teóricas; evolução das</w:t>
            </w:r>
          </w:p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color w:val="000000"/>
                <w:sz w:val="20"/>
                <w:szCs w:val="20"/>
              </w:rPr>
              <w:t>relações sociedade e natureza na Amazônia; Panorama das interações dinâmicas entre a</w:t>
            </w:r>
          </w:p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Times New Roman"/>
                <w:color w:val="000000"/>
                <w:sz w:val="20"/>
                <w:szCs w:val="20"/>
              </w:rPr>
              <w:t>flora, a fauna, os ecossistemas e os sistemas socioculturais. Etnobiologia, etnomanejo de</w:t>
            </w:r>
          </w:p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8" w:name="__UnoMark__2306_671967757"/>
            <w:bookmarkEnd w:id="198"/>
            <w:r>
              <w:rPr>
                <w:rFonts w:cs="Times New Roman"/>
                <w:color w:val="000000"/>
                <w:sz w:val="20"/>
                <w:szCs w:val="20"/>
              </w:rPr>
              <w:t>ecossistemas por populações tradicionais e etnoconservação da biodiversidade. Etnozoologia. Utilização da fauna e flora para subsistência, consequências da inferência humana sobre os recursos naturais. Estudo dos impactos causados pelas modificações ambientais de origem natural ou antrópica na fauna e flora regional. Fatores ambientais e socioeconômicos na (re)emergência de patógenos e impactos à saúde animal e humana. Metodologia da pesquisa em etnobiologia. Teoria e prática. Técnicas qualitativas e quantitativas de coletas de dados e os instrumentos de análise etnocientíficos. Transposição dos conhecimentos etnoecológicos para as práticas educativas.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9" w:name="__UnoMark__2307_671967757"/>
            <w:bookmarkStart w:id="200" w:name="__UnoMark__2308_671967757"/>
            <w:bookmarkEnd w:id="199"/>
            <w:bookmarkEnd w:id="200"/>
            <w:r>
              <w:rPr>
                <w:rStyle w:val="style21"/>
                <w:rFonts w:cs="Times New Roman"/>
                <w:b/>
                <w:bCs/>
                <w:color w:val="000000"/>
                <w:sz w:val="20"/>
                <w:szCs w:val="20"/>
              </w:rPr>
              <w:t>III) MÓDULO DE FORMAÇÃO DOCENTE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01" w:name="__UnoMark__2309_671967757"/>
            <w:bookmarkStart w:id="202" w:name="__UnoMark__2310_671967757"/>
            <w:bookmarkEnd w:id="201"/>
            <w:bookmarkEnd w:id="202"/>
            <w:r>
              <w:rPr>
                <w:rFonts w:cs="Times New Roman"/>
                <w:b/>
                <w:color w:val="000000"/>
                <w:sz w:val="20"/>
                <w:szCs w:val="20"/>
              </w:rPr>
              <w:t>Bloco A: DOCÊNCIA UNIVERSITÁRIA (Seminários temáticos - Atividades práticas)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03" w:name="__UnoMark__2311_671967757"/>
            <w:bookmarkStart w:id="204" w:name="__UnoMark__2312_671967757"/>
            <w:bookmarkEnd w:id="203"/>
            <w:bookmarkEnd w:id="204"/>
            <w:r>
              <w:rPr>
                <w:rFonts w:cs="Times New Roman"/>
                <w:color w:val="000000"/>
                <w:sz w:val="20"/>
                <w:szCs w:val="20"/>
              </w:rPr>
              <w:t>Docente no Ensino Superior: Vida, Perfil e Formação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05" w:name="__UnoMark__2313_671967757"/>
            <w:bookmarkStart w:id="206" w:name="__UnoMark__2314_671967757"/>
            <w:bookmarkEnd w:id="205"/>
            <w:bookmarkEnd w:id="206"/>
            <w:r>
              <w:rPr>
                <w:rFonts w:cs="Times New Roman"/>
                <w:color w:val="000000"/>
                <w:sz w:val="20"/>
                <w:szCs w:val="20"/>
              </w:rPr>
              <w:t>Práticas Pedagógicas Interdisciplinares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07" w:name="__UnoMark__2315_671967757"/>
            <w:bookmarkStart w:id="208" w:name="__UnoMark__2316_671967757"/>
            <w:bookmarkEnd w:id="207"/>
            <w:bookmarkEnd w:id="208"/>
            <w:r>
              <w:rPr>
                <w:rFonts w:cs="Times New Roman"/>
                <w:b/>
                <w:color w:val="000000"/>
                <w:sz w:val="20"/>
                <w:szCs w:val="20"/>
              </w:rPr>
              <w:t>Bloco B: EXTENSÃO UNIVERSITÁRIA (Seminários temáticos - Atividades práticas)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09" w:name="__UnoMark__2317_671967757"/>
            <w:bookmarkStart w:id="210" w:name="__UnoMark__2318_671967757"/>
            <w:bookmarkEnd w:id="209"/>
            <w:bookmarkEnd w:id="210"/>
            <w:r>
              <w:rPr>
                <w:rFonts w:cs="Times New Roman"/>
                <w:color w:val="000000"/>
                <w:sz w:val="20"/>
                <w:szCs w:val="20"/>
              </w:rPr>
              <w:t>MFD/B1 - Universidade, Sociedade e Sustentabilidade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11" w:name="__UnoMark__2319_671967757"/>
            <w:bookmarkStart w:id="212" w:name="__UnoMark__2320_671967757"/>
            <w:bookmarkEnd w:id="211"/>
            <w:bookmarkEnd w:id="212"/>
            <w:r>
              <w:rPr>
                <w:rFonts w:cs="Times New Roman"/>
                <w:color w:val="000000"/>
                <w:sz w:val="20"/>
                <w:szCs w:val="20"/>
              </w:rPr>
              <w:t>MFD/B2 – Projetos Interdisciplinares de Intervenção Social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13" w:name="__UnoMark__2321_671967757"/>
            <w:bookmarkStart w:id="214" w:name="__UnoMark__2322_671967757"/>
            <w:bookmarkEnd w:id="213"/>
            <w:bookmarkEnd w:id="214"/>
            <w:r>
              <w:rPr>
                <w:rFonts w:cs="Times New Roman"/>
                <w:b/>
                <w:color w:val="000000"/>
                <w:sz w:val="20"/>
                <w:szCs w:val="20"/>
              </w:rPr>
              <w:t>BLOCO C: PRODUÇÃO ACADÊMICA (Seminários temáticos e atividades práticas)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15" w:name="__UnoMark__2323_671967757"/>
            <w:bookmarkStart w:id="216" w:name="__UnoMark__2324_671967757"/>
            <w:bookmarkEnd w:id="215"/>
            <w:bookmarkEnd w:id="216"/>
            <w:r>
              <w:rPr>
                <w:rFonts w:cs="Times New Roman"/>
                <w:color w:val="000000"/>
                <w:sz w:val="20"/>
                <w:szCs w:val="20"/>
              </w:rPr>
              <w:t>MFD/C1 – Estado da Arte da Pesquisa na Amazônia</w:t>
            </w:r>
          </w:p>
        </w:tc>
      </w:tr>
      <w:tr>
        <w:trPr>
          <w:cantSplit w:val="false"/>
        </w:trPr>
        <w:tc>
          <w:tcPr>
            <w:tcW w:type="dxa" w:w="889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framePr w:h="23" w:hAnchor="margin" w:hRule="exact" w:hSpace="0" w:vAnchor="column" w:vSpace="0" w:w="8897" w:wrap="around" w:x="-113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17" w:name="__UnoMark__2325_671967757"/>
            <w:bookmarkEnd w:id="217"/>
            <w:r>
              <w:rPr>
                <w:rFonts w:cs="Times New Roman"/>
                <w:color w:val="000000"/>
                <w:sz w:val="20"/>
                <w:szCs w:val="20"/>
              </w:rPr>
              <w:t>MFD/C2 – Comunicação Oral e Escrita da Produção Acadêmico Científica</w:t>
            </w:r>
          </w:p>
        </w:tc>
      </w:tr>
    </w:tbl>
    <w:sectPr>
      <w:type w:val="continuous"/>
      <w:pgSz w:h="16838" w:w="11906"/>
      <w:pgMar w:bottom="1134" w:footer="720" w:gutter="0" w:header="72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9"/>
        <w:rFonts w:ascii="Arial" w:cs="Arial" w:hAnsi="Arial"/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29"/>
    <w:jc w:val="right"/>
    <w:top w:color="00000A" w:space="0" w:sz="4" w:val="single"/>
    <w:left w:val="none"/>
    <w:bottom w:val="none"/>
    <w:insideH w:val="none"/>
    <w:right w:val="none"/>
    <w:insideV w:val="none"/>
    <w:pP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inline distB="0" distL="0" distR="0" distT="0">
          <wp:extent cx="619125" cy="647700"/>
          <wp:effectExtent b="0" l="0" r="0" t="0"/>
          <wp:docPr descr="Descrição: C:\Users\Ufopa\Documents\PROCCE\PROCCE\BRASAO-JPG_pequeno.jp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Descrição: C:\Users\Ufopa\Documents\PROCCE\PROCCE\BRASAO-JPG_pequeno.jp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jc w:val="center"/>
    </w:pPr>
    <w:r>
      <w:rPr>
        <w:rFonts w:cs="Times New Roman"/>
        <w:b/>
        <w:bCs/>
        <w:sz w:val="20"/>
        <w:szCs w:val="20"/>
      </w:rPr>
      <w:t>UNIVERSIDADE FEDERAL DO OESTE DO PARÁ</w:t>
    </w:r>
  </w:p>
  <w:p>
    <w:pPr>
      <w:pStyle w:val="style0"/>
      <w:jc w:val="center"/>
    </w:pPr>
    <w:r>
      <w:rPr>
        <w:rFonts w:cs="Times New Roman"/>
        <w:b/>
        <w:bCs/>
        <w:sz w:val="20"/>
        <w:szCs w:val="20"/>
      </w:rPr>
      <w:t>CENTRO DE FORMAÇÃO INTERDISCIPLINAR</w:t>
    </w:r>
  </w:p>
  <w:p>
    <w:pPr>
      <w:pStyle w:val="style0"/>
      <w:jc w:val="center"/>
    </w:pPr>
    <w:r>
      <w:rPr>
        <w:rFonts w:cs="Times New Roman"/>
        <w:b/>
        <w:bCs/>
        <w:sz w:val="20"/>
        <w:szCs w:val="20"/>
      </w:rPr>
      <w:t>PROGRAMA DE PÓS-GRADUAÇÃO EM SOCIEDADE, AMBIENTE E QUALIDADE DE VIDA</w:t>
    </w:r>
  </w:p>
  <w:p>
    <w:pPr>
      <w:pStyle w:val="style28"/>
      <w:tabs>
        <w:tab w:leader="none" w:pos="1634" w:val="center"/>
        <w:tab w:leader="none" w:pos="4360" w:val="center"/>
        <w:tab w:leader="none" w:pos="8013" w:val="right"/>
        <w:tab w:leader="none" w:pos="8612" w:val="right"/>
      </w:tabs>
      <w:ind w:hanging="0" w:left="108" w:right="0"/>
    </w:pPr>
    <w:r>
      <w:rPr>
        <w:rFonts w:ascii="Arial" w:hAnsi="Arial"/>
        <w:b/>
        <w:smallCaps/>
        <w:sz w:val="28"/>
      </w:rPr>
    </w:r>
  </w:p>
  <w:p>
    <w:pPr>
      <w:pStyle w:val="style28"/>
    </w:pPr>
    <w:r>
      <w:rPr>
        <w:b/>
        <w:sz w:val="4"/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lowerRoman"/>
      <w:lvlText w:val="%1)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pBdr>
        <w:top w:val="none"/>
        <w:left w:val="none"/>
        <w:bottom w:val="none"/>
        <w:insideH w:val="none"/>
        <w:right w:val="none"/>
        <w:insideV w:val="none"/>
      </w:pBdr>
      <w:suppressAutoHyphens w:val="true"/>
      <w:spacing w:after="0" w:before="0" w:line="100" w:lineRule="atLeast"/>
      <w:contextualSpacing w:val="false"/>
    </w:pPr>
    <w:rPr>
      <w:rFonts w:ascii="Times New Roman" w:cs="Arial Unicode MS" w:eastAsia="Arial Unicode MS" w:hAnsi="Times New Roman"/>
      <w:color w:val="000000"/>
      <w:sz w:val="24"/>
      <w:szCs w:val="24"/>
      <w:u w:val="none"/>
      <w:lang w:bidi="ar-SA" w:eastAsia="pt-BR" w:val="pt-PT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fontstyle01"/>
    <w:basedOn w:val="style15"/>
    <w:next w:val="style18"/>
    <w:rPr>
      <w:rFonts w:ascii="Times New Roman" w:cs="Times New Roman" w:hAnsi="Times New Roman"/>
      <w:b w:val="false"/>
      <w:bCs w:val="false"/>
      <w:i w:val="false"/>
      <w:iCs w:val="false"/>
      <w:color w:val="000000"/>
      <w:sz w:val="24"/>
      <w:szCs w:val="24"/>
    </w:rPr>
  </w:style>
  <w:style w:styleId="style19" w:type="character">
    <w:name w:val="page number"/>
    <w:basedOn w:val="style15"/>
    <w:next w:val="style19"/>
    <w:rPr/>
  </w:style>
  <w:style w:styleId="style20" w:type="character">
    <w:name w:val="Texto de balão Char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color_20"/>
    <w:basedOn w:val="style15"/>
    <w:next w:val="style21"/>
    <w:rPr/>
  </w:style>
  <w:style w:styleId="style22" w:type="character">
    <w:name w:val="ListLabel 1"/>
    <w:next w:val="style22"/>
    <w:rPr>
      <w:rFonts w:cs="Courier New"/>
    </w:rPr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Cabeçalho"/>
    <w:basedOn w:val="style0"/>
    <w:next w:val="style28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9" w:type="paragraph">
    <w:name w:val="Rodapé"/>
    <w:basedOn w:val="style0"/>
    <w:next w:val="style29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Normal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0"/>
      <w:sz w:val="24"/>
      <w:szCs w:val="24"/>
      <w:lang w:bidi="ar-SA" w:eastAsia="en-US" w:val="pt-BR"/>
    </w:rPr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3" w:type="paragraph">
    <w:name w:val="font_7"/>
    <w:basedOn w:val="style0"/>
    <w:next w:val="style3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34" w:type="paragraph">
    <w:name w:val="WW-Estilo padrão"/>
    <w:next w:val="style34"/>
    <w:pPr>
      <w:widowControl/>
      <w:suppressAutoHyphens w:val="true"/>
      <w:spacing w:after="200" w:before="0" w:line="276" w:lineRule="auto"/>
      <w:contextualSpacing w:val="false"/>
      <w:textAlignment w:val="baseline"/>
    </w:pPr>
    <w:rPr>
      <w:rFonts w:ascii="Calibri" w:cs="Calibri" w:eastAsia="SimSun" w:hAnsi="Calibri"/>
      <w:color w:val="00000A"/>
      <w:sz w:val="22"/>
      <w:szCs w:val="22"/>
      <w:lang w:bidi="ar-SA" w:eastAsia="zh-CN" w:val="pt-BR"/>
    </w:rPr>
  </w:style>
  <w:style w:styleId="style35" w:type="paragraph">
    <w:name w:val="Conteúdo do quadro"/>
    <w:basedOn w:val="style24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2019-03-27T11:42:00.00Z</dcterms:created>
  <dc:creator>itamar</dc:creator>
  <cp:lastModifiedBy>itamar</cp:lastModifiedBy>
  <cp:lastPrinted>2019-03-22T19:49:00.00Z</cp:lastPrinted>
  <dcterms:modified xsi:type="dcterms:W3CDTF">2019-03-27T11:42:00.00Z</dcterms:modified>
  <cp:revision>2</cp:revision>
</cp:coreProperties>
</file>