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136B" w14:textId="77777777" w:rsidR="00440EA3" w:rsidRPr="00F80580" w:rsidRDefault="00440EA3" w:rsidP="00440E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80580">
        <w:rPr>
          <w:rFonts w:ascii="Arial" w:hAnsi="Arial" w:cs="Arial"/>
          <w:b/>
          <w:bCs/>
          <w:sz w:val="24"/>
          <w:szCs w:val="24"/>
        </w:rPr>
        <w:t>1 Perfil do Curso</w:t>
      </w:r>
    </w:p>
    <w:p w14:paraId="2A4EAA3E" w14:textId="5EAC4E69" w:rsidR="00440EA3" w:rsidRPr="00F80580" w:rsidRDefault="00440EA3" w:rsidP="00440EA3">
      <w:pPr>
        <w:spacing w:line="355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>O curso de geologia é ofertado pela Universidade Federal do Oeste do Pará (</w:t>
      </w:r>
      <w:proofErr w:type="spellStart"/>
      <w:r w:rsidR="00DA23FA">
        <w:rPr>
          <w:rFonts w:ascii="Arial" w:hAnsi="Arial" w:cs="Arial"/>
          <w:sz w:val="24"/>
          <w:szCs w:val="24"/>
        </w:rPr>
        <w:t>Ufopa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), em sua sede, no município de Santarém. Essa cidade, é terceira maior do estado do Pará (em número de habitantes), e possui </w:t>
      </w:r>
      <w:r>
        <w:rPr>
          <w:rFonts w:ascii="Arial" w:hAnsi="Arial" w:cs="Arial"/>
          <w:sz w:val="24"/>
          <w:szCs w:val="24"/>
        </w:rPr>
        <w:t>em torno</w:t>
      </w:r>
      <w:r w:rsidRPr="00F80580">
        <w:rPr>
          <w:rFonts w:ascii="Arial" w:hAnsi="Arial" w:cs="Arial"/>
          <w:sz w:val="24"/>
          <w:szCs w:val="24"/>
        </w:rPr>
        <w:t xml:space="preserve"> de 351.220 habitantes (IBGE, 2022). A universidade apresenta localização privilegiada, cercada pelos rios Arapiuns, Tapajós e Amazonas e apresenta a BR-163 como principal conector continental da região central do Brasil à Amazônia Central. Essa rede de rios e uma estrada Federal, na área geográfica da Universidade, facilitou a adoção do modelo </w:t>
      </w:r>
      <w:r w:rsidRPr="00F80580">
        <w:rPr>
          <w:rFonts w:ascii="Arial" w:hAnsi="Arial" w:cs="Arial"/>
          <w:i/>
          <w:sz w:val="24"/>
          <w:szCs w:val="24"/>
        </w:rPr>
        <w:t>multicampi</w:t>
      </w:r>
      <w:r w:rsidRPr="00F80580">
        <w:rPr>
          <w:rFonts w:ascii="Arial" w:hAnsi="Arial" w:cs="Arial"/>
          <w:sz w:val="24"/>
          <w:szCs w:val="24"/>
        </w:rPr>
        <w:t xml:space="preserve"> a qual possibilita a exploração do potencial socioeconômico e ambiental de cada subárea da região que a </w:t>
      </w:r>
      <w:proofErr w:type="spellStart"/>
      <w:r w:rsidR="00DA23FA">
        <w:rPr>
          <w:rFonts w:ascii="Arial" w:hAnsi="Arial" w:cs="Arial"/>
          <w:sz w:val="24"/>
          <w:szCs w:val="24"/>
        </w:rPr>
        <w:t>Ufopa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representa. Os municípios que integram a Universidade compreendem uma vasta área de 500.000 km² com cerca de um milhão de habitantes. </w:t>
      </w:r>
      <w:r w:rsidR="00B2397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A23FA">
        <w:rPr>
          <w:rFonts w:ascii="Arial" w:hAnsi="Arial" w:cs="Arial"/>
          <w:sz w:val="24"/>
          <w:szCs w:val="24"/>
        </w:rPr>
        <w:t>Ufopa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possui </w:t>
      </w:r>
      <w:r w:rsidRPr="00F80580">
        <w:rPr>
          <w:rFonts w:ascii="Arial" w:hAnsi="Arial" w:cs="Arial"/>
          <w:i/>
          <w:sz w:val="24"/>
          <w:szCs w:val="24"/>
        </w:rPr>
        <w:t>Campi</w:t>
      </w:r>
      <w:r w:rsidR="00B23976">
        <w:rPr>
          <w:rFonts w:ascii="Arial" w:hAnsi="Arial" w:cs="Arial"/>
          <w:i/>
          <w:sz w:val="24"/>
          <w:szCs w:val="24"/>
        </w:rPr>
        <w:t xml:space="preserve"> </w:t>
      </w:r>
      <w:r w:rsidR="00B23976" w:rsidRPr="00B23976">
        <w:rPr>
          <w:rFonts w:ascii="Arial" w:hAnsi="Arial" w:cs="Arial"/>
          <w:iCs/>
          <w:sz w:val="24"/>
          <w:szCs w:val="24"/>
        </w:rPr>
        <w:t>em algu</w:t>
      </w:r>
      <w:r w:rsidR="0045591F">
        <w:rPr>
          <w:rFonts w:ascii="Arial" w:hAnsi="Arial" w:cs="Arial"/>
          <w:iCs/>
          <w:sz w:val="24"/>
          <w:szCs w:val="24"/>
        </w:rPr>
        <w:t xml:space="preserve">ns </w:t>
      </w:r>
      <w:r w:rsidR="002D2175">
        <w:rPr>
          <w:rFonts w:ascii="Arial" w:hAnsi="Arial" w:cs="Arial"/>
          <w:iCs/>
          <w:sz w:val="24"/>
          <w:szCs w:val="24"/>
        </w:rPr>
        <w:t xml:space="preserve">dos municípios </w:t>
      </w:r>
      <w:r w:rsidR="002C61C3">
        <w:rPr>
          <w:rFonts w:ascii="Arial" w:hAnsi="Arial" w:cs="Arial"/>
          <w:sz w:val="24"/>
          <w:szCs w:val="24"/>
        </w:rPr>
        <w:t>que estão entre</w:t>
      </w:r>
      <w:r w:rsidR="0045591F" w:rsidRPr="00F80580">
        <w:rPr>
          <w:rFonts w:ascii="Arial" w:hAnsi="Arial" w:cs="Arial"/>
          <w:sz w:val="24"/>
          <w:szCs w:val="24"/>
        </w:rPr>
        <w:t xml:space="preserve"> os principais alvos da pesquisa, extração e transformação mineral do Estado do Pará</w:t>
      </w:r>
      <w:r w:rsidR="002C61C3">
        <w:rPr>
          <w:rFonts w:ascii="Arial" w:hAnsi="Arial" w:cs="Arial"/>
          <w:sz w:val="24"/>
          <w:szCs w:val="24"/>
        </w:rPr>
        <w:t>, como</w:t>
      </w:r>
      <w:r w:rsidR="0070214A">
        <w:rPr>
          <w:rFonts w:ascii="Arial" w:hAnsi="Arial" w:cs="Arial"/>
          <w:sz w:val="24"/>
          <w:szCs w:val="24"/>
        </w:rPr>
        <w:t>:</w:t>
      </w:r>
      <w:r w:rsidRPr="00F80580">
        <w:rPr>
          <w:rFonts w:ascii="Arial" w:hAnsi="Arial" w:cs="Arial"/>
          <w:sz w:val="24"/>
          <w:szCs w:val="24"/>
        </w:rPr>
        <w:t xml:space="preserve"> Alenquer, Juruti, Monte Alegre, Oriximiná</w:t>
      </w:r>
      <w:r>
        <w:rPr>
          <w:rFonts w:ascii="Arial" w:hAnsi="Arial" w:cs="Arial"/>
          <w:sz w:val="24"/>
          <w:szCs w:val="24"/>
        </w:rPr>
        <w:t>,</w:t>
      </w:r>
      <w:r w:rsidRPr="00F80580">
        <w:rPr>
          <w:rFonts w:ascii="Arial" w:hAnsi="Arial" w:cs="Arial"/>
          <w:sz w:val="24"/>
          <w:szCs w:val="24"/>
        </w:rPr>
        <w:t xml:space="preserve"> Óbidos</w:t>
      </w:r>
      <w:r w:rsidR="0070214A">
        <w:rPr>
          <w:rFonts w:ascii="Arial" w:hAnsi="Arial" w:cs="Arial"/>
          <w:sz w:val="24"/>
          <w:szCs w:val="24"/>
        </w:rPr>
        <w:t xml:space="preserve"> </w:t>
      </w:r>
      <w:r w:rsidR="0070214A">
        <w:rPr>
          <w:rFonts w:ascii="Arial" w:hAnsi="Arial" w:cs="Arial"/>
          <w:sz w:val="24"/>
          <w:szCs w:val="24"/>
        </w:rPr>
        <w:t>e Itaituba</w:t>
      </w:r>
      <w:r w:rsidR="002C61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80580">
        <w:rPr>
          <w:rFonts w:ascii="Arial" w:hAnsi="Arial" w:cs="Arial"/>
          <w:sz w:val="24"/>
          <w:szCs w:val="24"/>
        </w:rPr>
        <w:t xml:space="preserve">Com a perspectiva de responder às demandas e vocações regionais voltadas para a Pesquisa </w:t>
      </w:r>
      <w:r>
        <w:rPr>
          <w:rFonts w:ascii="Arial" w:hAnsi="Arial" w:cs="Arial"/>
          <w:sz w:val="24"/>
          <w:szCs w:val="24"/>
        </w:rPr>
        <w:t xml:space="preserve">e exploração sustentável </w:t>
      </w:r>
      <w:r w:rsidRPr="00F80580">
        <w:rPr>
          <w:rFonts w:ascii="Arial" w:hAnsi="Arial" w:cs="Arial"/>
          <w:sz w:val="24"/>
          <w:szCs w:val="24"/>
        </w:rPr>
        <w:t xml:space="preserve">de Recursos Naturais na Amazônia, consideradas estratégicas para o desenvolvimento do Estado e da mesorregião, a </w:t>
      </w:r>
      <w:proofErr w:type="spellStart"/>
      <w:r w:rsidR="00DA23FA">
        <w:rPr>
          <w:rFonts w:ascii="Arial" w:hAnsi="Arial" w:cs="Arial"/>
          <w:sz w:val="24"/>
          <w:szCs w:val="24"/>
        </w:rPr>
        <w:t>Ufopa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oferece o Curso de Geologia como principal instrumento para a abordagem dessa investigação tão complexa. </w:t>
      </w:r>
    </w:p>
    <w:p w14:paraId="26E5D31C" w14:textId="386ACDE0" w:rsidR="00440EA3" w:rsidRPr="00F80580" w:rsidRDefault="00440EA3" w:rsidP="00440EA3">
      <w:pPr>
        <w:spacing w:line="355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O Curso de Geologia da </w:t>
      </w:r>
      <w:proofErr w:type="spellStart"/>
      <w:r w:rsidR="00DA23FA">
        <w:rPr>
          <w:rFonts w:ascii="Arial" w:hAnsi="Arial" w:cs="Arial"/>
          <w:sz w:val="24"/>
          <w:szCs w:val="24"/>
        </w:rPr>
        <w:t>Ufopa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foi o quinto curso de graduação de bacharelado em geologia </w:t>
      </w:r>
      <w:r w:rsidRPr="00F80580">
        <w:rPr>
          <w:rFonts w:ascii="Arial" w:hAnsi="Arial" w:cs="Arial"/>
          <w:color w:val="000000" w:themeColor="text1"/>
          <w:sz w:val="24"/>
          <w:szCs w:val="24"/>
        </w:rPr>
        <w:t xml:space="preserve">implantado na Região Amazônica brasileira, no ano de 2011, inaugurando um novo ciclo de valorização para a Amazônia, sobretudo, para o oeste do Estado do Pará. Assim, juntamente com as demais instituições federais de ensino superior em Geologia, à pioneira Universidade Federal do Pará, </w:t>
      </w:r>
      <w:r w:rsidR="0051485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80580">
        <w:rPr>
          <w:rFonts w:ascii="Arial" w:hAnsi="Arial" w:cs="Arial"/>
          <w:color w:val="000000" w:themeColor="text1"/>
          <w:sz w:val="24"/>
          <w:szCs w:val="24"/>
        </w:rPr>
        <w:t>1963</w:t>
      </w:r>
      <w:r w:rsidR="00000014">
        <w:rPr>
          <w:rFonts w:ascii="Arial" w:hAnsi="Arial" w:cs="Arial"/>
          <w:color w:val="000000" w:themeColor="text1"/>
          <w:sz w:val="24"/>
          <w:szCs w:val="24"/>
        </w:rPr>
        <w:t>,</w:t>
      </w:r>
      <w:r w:rsidRPr="00F80580">
        <w:rPr>
          <w:rFonts w:ascii="Arial" w:hAnsi="Arial" w:cs="Arial"/>
          <w:color w:val="000000" w:themeColor="text1"/>
          <w:sz w:val="24"/>
          <w:szCs w:val="24"/>
        </w:rPr>
        <w:t xml:space="preserve"> em Belém, seguindo-se a Universidade Federal do Amazonas, </w:t>
      </w:r>
      <w:r w:rsidR="0051485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80580">
        <w:rPr>
          <w:rFonts w:ascii="Arial" w:hAnsi="Arial" w:cs="Arial"/>
          <w:color w:val="000000" w:themeColor="text1"/>
          <w:sz w:val="24"/>
          <w:szCs w:val="24"/>
        </w:rPr>
        <w:t>1976</w:t>
      </w:r>
      <w:r w:rsidR="00000014">
        <w:rPr>
          <w:rFonts w:ascii="Arial" w:hAnsi="Arial" w:cs="Arial"/>
          <w:color w:val="000000" w:themeColor="text1"/>
          <w:sz w:val="24"/>
          <w:szCs w:val="24"/>
        </w:rPr>
        <w:t>,</w:t>
      </w:r>
      <w:r w:rsidRPr="00F80580">
        <w:rPr>
          <w:rFonts w:ascii="Arial" w:hAnsi="Arial" w:cs="Arial"/>
          <w:color w:val="000000" w:themeColor="text1"/>
          <w:sz w:val="24"/>
          <w:szCs w:val="24"/>
        </w:rPr>
        <w:t xml:space="preserve"> em Manaus e, mais recentemente, a Universidade Federal do Sul e Sudeste do Pará, desde 2005) em Marabá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F80580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Pr="00F805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Universidade Federal de Roraima </w:t>
      </w:r>
      <w:r w:rsidR="005148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F805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2008,</w:t>
      </w:r>
      <w:r w:rsidRPr="00F80580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DA23FA">
        <w:rPr>
          <w:rFonts w:ascii="Arial" w:hAnsi="Arial" w:cs="Arial"/>
          <w:color w:val="000000" w:themeColor="text1"/>
          <w:sz w:val="24"/>
          <w:szCs w:val="24"/>
        </w:rPr>
        <w:t>Ufopa</w:t>
      </w:r>
      <w:proofErr w:type="spellEnd"/>
      <w:r w:rsidRPr="00F80580">
        <w:rPr>
          <w:rFonts w:ascii="Arial" w:hAnsi="Arial" w:cs="Arial"/>
          <w:color w:val="000000" w:themeColor="text1"/>
          <w:sz w:val="24"/>
          <w:szCs w:val="24"/>
        </w:rPr>
        <w:t xml:space="preserve"> compõe a rede universitária de ensino, pesquisa</w:t>
      </w:r>
      <w:r w:rsidRPr="00F80580">
        <w:rPr>
          <w:rFonts w:ascii="Arial" w:hAnsi="Arial" w:cs="Arial"/>
          <w:sz w:val="24"/>
          <w:szCs w:val="24"/>
        </w:rPr>
        <w:t xml:space="preserve">, extensão e inovação tecnológica voltada à produção de conhecimento e formação de profissional em Geologia com o desafio de identificar, gerir e transformar recursos minerais e energéticos em ganhos econômicos e sociais na região Amazônica brasileira. </w:t>
      </w:r>
    </w:p>
    <w:p w14:paraId="59E090B1" w14:textId="77777777" w:rsidR="00440EA3" w:rsidRPr="00F80580" w:rsidRDefault="00440EA3" w:rsidP="00440EA3">
      <w:pPr>
        <w:spacing w:line="355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lastRenderedPageBreak/>
        <w:t xml:space="preserve">O Bacharelado em Geologia enfoca a Terra como um sistema dinâmico complexo, entendendo a Litosfera, Atmosfera, Hidrosfera e Biosfera como ambientes conectados. O Curso de Geologia contribui para formação de recursos humanos e geração de conhecimento tendo como eixo os processos que operam na Zona Crítica da Terra (ZCT) e as suas relações com a dinâmica interna do Planeta, com ênfase na Região Amazônica brasileira.  </w:t>
      </w:r>
    </w:p>
    <w:p w14:paraId="1FADDF4F" w14:textId="55204B40" w:rsidR="00440EA3" w:rsidRPr="00F80580" w:rsidRDefault="00440EA3" w:rsidP="00562E2F">
      <w:pPr>
        <w:spacing w:line="357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A Zona Crítica da Terra é a porção mais heterogênea do Planeta, próxima à superfície, na qual as complexas interações envolvendo rocha, solo, água, ar e organismos regulam o </w:t>
      </w:r>
      <w:r w:rsidRPr="00F80580">
        <w:rPr>
          <w:rFonts w:ascii="Arial" w:hAnsi="Arial" w:cs="Arial"/>
          <w:i/>
          <w:sz w:val="24"/>
          <w:szCs w:val="24"/>
        </w:rPr>
        <w:t>habitat</w:t>
      </w:r>
      <w:r w:rsidRPr="00F80580">
        <w:rPr>
          <w:rFonts w:ascii="Arial" w:hAnsi="Arial" w:cs="Arial"/>
          <w:sz w:val="24"/>
          <w:szCs w:val="24"/>
        </w:rPr>
        <w:t xml:space="preserve"> natural e determinam a disponibilidade dos recursos que sustentam a Vida na Terra</w:t>
      </w:r>
      <w:r w:rsidR="00562E2F">
        <w:rPr>
          <w:rFonts w:ascii="Arial" w:hAnsi="Arial" w:cs="Arial"/>
          <w:sz w:val="24"/>
          <w:szCs w:val="24"/>
        </w:rPr>
        <w:t xml:space="preserve"> </w:t>
      </w:r>
      <w:r w:rsidRPr="00F80580">
        <w:rPr>
          <w:rFonts w:ascii="Arial" w:hAnsi="Arial" w:cs="Arial"/>
          <w:sz w:val="24"/>
          <w:szCs w:val="24"/>
        </w:rPr>
        <w:t>(</w:t>
      </w:r>
      <w:proofErr w:type="spellStart"/>
      <w:r w:rsidRPr="00F80580">
        <w:rPr>
          <w:rFonts w:ascii="Arial" w:hAnsi="Arial" w:cs="Arial"/>
          <w:sz w:val="24"/>
          <w:szCs w:val="24"/>
        </w:rPr>
        <w:t>Amundson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2007, NRC 2009). Os solos, o cerne da Zona Crítica da Terra, constituem o mais interessante dos compartimentos terrestres onde ocorrem processos de interface com rochas (Geosfera), águas (Hidrosfera), seres vivos (Biosfera) e clima (Atmosfera) e, de igual e relevante importância, os processos induzidos pelo homem através das atividades socioeconômicas. O conhecimento aprofundado do solo, subsolo e dos processos superficiais da Crosta Terrestre são também essenciais para o planejamento e desenvolvimento de obras de engenharia, planejamento de uso e ocupação da Terra, uso da água superficial e subterrânea (</w:t>
      </w:r>
      <w:proofErr w:type="spellStart"/>
      <w:r w:rsidRPr="00F80580">
        <w:rPr>
          <w:rFonts w:ascii="Arial" w:hAnsi="Arial" w:cs="Arial"/>
          <w:sz w:val="24"/>
          <w:szCs w:val="24"/>
        </w:rPr>
        <w:t>Christopherson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, 2012).  </w:t>
      </w:r>
    </w:p>
    <w:p w14:paraId="6C5C95CA" w14:textId="77777777" w:rsidR="00440EA3" w:rsidRPr="00F80580" w:rsidRDefault="00440EA3" w:rsidP="00440EA3">
      <w:pPr>
        <w:spacing w:line="355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Nesse contexto, a Amazônia brasileira possui meio bilhão de hectares de solos com aptidão agrícola e um subsolo com gigantescas reservas de minérios além de abrigar cerca de 15% da água doce não congelada do planeta e 80% da água disponível no território brasileiro. A região possui os mais importantes depósitos minerais do país, com destaque para as jazidas minerais de alumínio, caulim, cobre, ferro, manganês, níquel, ouro, os quais a formação e evolução, em muitos casos, estão relacionadas aos processos superficiais regidos pelo clima, desde o Período </w:t>
      </w:r>
      <w:r>
        <w:rPr>
          <w:rFonts w:ascii="Arial" w:hAnsi="Arial" w:cs="Arial"/>
          <w:sz w:val="24"/>
          <w:szCs w:val="24"/>
        </w:rPr>
        <w:t>Paleógeno</w:t>
      </w:r>
      <w:r w:rsidRPr="00F80580">
        <w:rPr>
          <w:rFonts w:ascii="Arial" w:hAnsi="Arial" w:cs="Arial"/>
          <w:sz w:val="24"/>
          <w:szCs w:val="24"/>
        </w:rPr>
        <w:t xml:space="preserve"> até o </w:t>
      </w:r>
      <w:r>
        <w:rPr>
          <w:rFonts w:ascii="Arial" w:hAnsi="Arial" w:cs="Arial"/>
          <w:sz w:val="24"/>
          <w:szCs w:val="24"/>
        </w:rPr>
        <w:t>Recente</w:t>
      </w:r>
      <w:r w:rsidRPr="00F80580">
        <w:rPr>
          <w:rFonts w:ascii="Arial" w:hAnsi="Arial" w:cs="Arial"/>
          <w:sz w:val="24"/>
          <w:szCs w:val="24"/>
        </w:rPr>
        <w:t xml:space="preserve">. A produção correspondente à lavra, beneficiamento e processamento metalúrgico desses minérios no Estado do Pará corresponde, aproximadamente, a quinze bilhões de dólares (Assad 1978, Santos 2002, </w:t>
      </w:r>
      <w:proofErr w:type="spellStart"/>
      <w:r w:rsidRPr="00F80580">
        <w:rPr>
          <w:rFonts w:ascii="Arial" w:hAnsi="Arial" w:cs="Arial"/>
          <w:sz w:val="24"/>
          <w:szCs w:val="24"/>
        </w:rPr>
        <w:t>Azzoni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2009, Quaresma 2009). </w:t>
      </w:r>
    </w:p>
    <w:p w14:paraId="36EB5A26" w14:textId="49B5C955" w:rsidR="00440EA3" w:rsidRPr="00F80580" w:rsidRDefault="00440EA3" w:rsidP="00440EA3">
      <w:pPr>
        <w:spacing w:line="360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O Departamento Nacional de Produção Mineral (DNPM) identificou no Pará dezesseis distritos mineiros, dos quais sete em produção e nove </w:t>
      </w:r>
      <w:r w:rsidRPr="00F80580">
        <w:rPr>
          <w:rFonts w:ascii="Arial" w:hAnsi="Arial" w:cs="Arial"/>
          <w:sz w:val="24"/>
          <w:szCs w:val="24"/>
        </w:rPr>
        <w:lastRenderedPageBreak/>
        <w:t xml:space="preserve">potenciais fontes de recursos minerais. Da Região Oeste destacam-se, </w:t>
      </w:r>
      <w:r>
        <w:rPr>
          <w:rFonts w:ascii="Arial" w:hAnsi="Arial" w:cs="Arial"/>
          <w:sz w:val="24"/>
          <w:szCs w:val="24"/>
        </w:rPr>
        <w:t>pel</w:t>
      </w:r>
      <w:r w:rsidRPr="00F80580">
        <w:rPr>
          <w:rFonts w:ascii="Arial" w:hAnsi="Arial" w:cs="Arial"/>
          <w:sz w:val="24"/>
          <w:szCs w:val="24"/>
        </w:rPr>
        <w:t>a dimensão e potencial, os distritos Tapajós (Província Aurífera do Tapajós) e Trombetas-Juruti. A Província Aurífera do Tapajós, com cerca de 170.000 km</w:t>
      </w:r>
      <w:r w:rsidRPr="00F80580">
        <w:rPr>
          <w:rFonts w:ascii="Arial" w:hAnsi="Arial" w:cs="Arial"/>
          <w:sz w:val="24"/>
          <w:szCs w:val="24"/>
          <w:vertAlign w:val="superscript"/>
        </w:rPr>
        <w:t>2</w:t>
      </w:r>
      <w:r w:rsidRPr="00F80580">
        <w:rPr>
          <w:rFonts w:ascii="Arial" w:hAnsi="Arial" w:cs="Arial"/>
          <w:sz w:val="24"/>
          <w:szCs w:val="24"/>
        </w:rPr>
        <w:t xml:space="preserve"> de extensão, possui catalogados em torno de cem depósitos de ouro. O distrito Trombetas-Juruti possui depósitos de bauxita com reservas estimadas em novecentos milhões de toneladas, no município de Oriximiná, e setecentas toneladas no município de Juruti (Faraco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1997, Klein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2001, Santos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2000/2001/2004, DNPM 2006, Coutinho 2008, </w:t>
      </w:r>
      <w:proofErr w:type="spellStart"/>
      <w:r w:rsidRPr="00F80580">
        <w:rPr>
          <w:rFonts w:ascii="Arial" w:hAnsi="Arial" w:cs="Arial"/>
          <w:sz w:val="24"/>
          <w:szCs w:val="24"/>
        </w:rPr>
        <w:t>Azzoni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2009). </w:t>
      </w:r>
    </w:p>
    <w:p w14:paraId="7DEE2FB4" w14:textId="77777777" w:rsidR="00440EA3" w:rsidRPr="00F80580" w:rsidRDefault="00440EA3" w:rsidP="00440EA3">
      <w:pPr>
        <w:spacing w:line="355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As reservas de ouro levaram Dardenne &amp; </w:t>
      </w:r>
      <w:proofErr w:type="spellStart"/>
      <w:r w:rsidRPr="00F80580">
        <w:rPr>
          <w:rFonts w:ascii="Arial" w:hAnsi="Arial" w:cs="Arial"/>
          <w:sz w:val="24"/>
          <w:szCs w:val="24"/>
        </w:rPr>
        <w:t>Schobbenhaus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(2001) a considerar a Província Mineral do Tapajós como a maior produtora do minério do país. São notáveis ainda, da classe de minerais metálicos, os depósitos de chumbo, cobre, estanho, prata e volfrâmio e, entre os não-metálicos, importantes fertilizantes corretivos para solo como calcário, calcário dolomítico, gipsita, fosfato e sal-gema (Amaral 1984, Ferreira </w:t>
      </w:r>
      <w:r w:rsidRPr="00F80580">
        <w:rPr>
          <w:rFonts w:ascii="Arial" w:hAnsi="Arial" w:cs="Arial"/>
          <w:i/>
          <w:sz w:val="24"/>
          <w:szCs w:val="24"/>
        </w:rPr>
        <w:t>et al</w:t>
      </w:r>
      <w:r w:rsidRPr="00F80580">
        <w:rPr>
          <w:rFonts w:ascii="Arial" w:hAnsi="Arial" w:cs="Arial"/>
          <w:sz w:val="24"/>
          <w:szCs w:val="24"/>
        </w:rPr>
        <w:t xml:space="preserve">. 2000, Almeida </w:t>
      </w:r>
      <w:r w:rsidRPr="00F80580">
        <w:rPr>
          <w:rFonts w:ascii="Arial" w:hAnsi="Arial" w:cs="Arial"/>
          <w:i/>
          <w:sz w:val="24"/>
          <w:szCs w:val="24"/>
        </w:rPr>
        <w:t>et al</w:t>
      </w:r>
      <w:r w:rsidRPr="00F80580">
        <w:rPr>
          <w:rFonts w:ascii="Arial" w:hAnsi="Arial" w:cs="Arial"/>
          <w:sz w:val="24"/>
          <w:szCs w:val="24"/>
        </w:rPr>
        <w:t xml:space="preserve">. 2000, Santos </w:t>
      </w:r>
      <w:r w:rsidRPr="00F80580">
        <w:rPr>
          <w:rFonts w:ascii="Arial" w:hAnsi="Arial" w:cs="Arial"/>
          <w:i/>
          <w:sz w:val="24"/>
          <w:szCs w:val="24"/>
        </w:rPr>
        <w:t>et al</w:t>
      </w:r>
      <w:r w:rsidRPr="00F80580">
        <w:rPr>
          <w:rFonts w:ascii="Arial" w:hAnsi="Arial" w:cs="Arial"/>
          <w:sz w:val="24"/>
          <w:szCs w:val="24"/>
        </w:rPr>
        <w:t xml:space="preserve">. 2001, Rodrigues </w:t>
      </w:r>
      <w:r w:rsidRPr="00F80580">
        <w:rPr>
          <w:rFonts w:ascii="Arial" w:hAnsi="Arial" w:cs="Arial"/>
          <w:i/>
          <w:sz w:val="24"/>
          <w:szCs w:val="24"/>
        </w:rPr>
        <w:t>et al</w:t>
      </w:r>
      <w:r w:rsidRPr="00F80580">
        <w:rPr>
          <w:rFonts w:ascii="Arial" w:hAnsi="Arial" w:cs="Arial"/>
          <w:sz w:val="24"/>
          <w:szCs w:val="24"/>
        </w:rPr>
        <w:t xml:space="preserve">. 2008).  </w:t>
      </w:r>
    </w:p>
    <w:p w14:paraId="3157D4C3" w14:textId="4D1BA151" w:rsidR="00440EA3" w:rsidRPr="00F80580" w:rsidRDefault="00440EA3" w:rsidP="00440EA3">
      <w:pPr>
        <w:spacing w:line="355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Além de os depósitos de minerais-minérios, a bacia amazônica apresenta potencial para reservas de combustíveis fósseis, </w:t>
      </w:r>
      <w:r>
        <w:rPr>
          <w:rFonts w:ascii="Arial" w:hAnsi="Arial" w:cs="Arial"/>
          <w:sz w:val="24"/>
          <w:szCs w:val="24"/>
        </w:rPr>
        <w:t xml:space="preserve">com campos maduros na Bacia do Solimões produzindo atualmente cerca de 21 mil barris por dia e importantes reservas de gás </w:t>
      </w:r>
      <w:r w:rsidRPr="00F80580">
        <w:rPr>
          <w:rFonts w:ascii="Arial" w:hAnsi="Arial" w:cs="Arial"/>
          <w:sz w:val="24"/>
          <w:szCs w:val="24"/>
        </w:rPr>
        <w:t>(Santos, 2002</w:t>
      </w:r>
      <w:r>
        <w:rPr>
          <w:rFonts w:ascii="Arial" w:hAnsi="Arial" w:cs="Arial"/>
          <w:sz w:val="24"/>
          <w:szCs w:val="24"/>
        </w:rPr>
        <w:t xml:space="preserve"> e portal da ANP</w:t>
      </w:r>
      <w:r w:rsidRPr="00F805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Na última década, com as rodadas de licitação de blocos exploratórios e a inclusão de </w:t>
      </w:r>
      <w:r w:rsidRPr="00947666">
        <w:rPr>
          <w:rFonts w:ascii="Arial" w:hAnsi="Arial" w:cs="Arial"/>
          <w:sz w:val="24"/>
          <w:szCs w:val="24"/>
        </w:rPr>
        <w:t xml:space="preserve">218 blocos da </w:t>
      </w:r>
      <w:r>
        <w:rPr>
          <w:rFonts w:ascii="Arial" w:hAnsi="Arial" w:cs="Arial"/>
          <w:sz w:val="24"/>
          <w:szCs w:val="24"/>
        </w:rPr>
        <w:t>m</w:t>
      </w:r>
      <w:r w:rsidRPr="00947666">
        <w:rPr>
          <w:rFonts w:ascii="Arial" w:hAnsi="Arial" w:cs="Arial"/>
          <w:sz w:val="24"/>
          <w:szCs w:val="24"/>
        </w:rPr>
        <w:t>argem equatorial</w:t>
      </w:r>
      <w:r>
        <w:rPr>
          <w:rFonts w:ascii="Arial" w:hAnsi="Arial" w:cs="Arial"/>
          <w:sz w:val="24"/>
          <w:szCs w:val="24"/>
        </w:rPr>
        <w:t xml:space="preserve"> brasileira</w:t>
      </w:r>
      <w:r w:rsidRPr="00947666">
        <w:rPr>
          <w:rFonts w:ascii="Arial" w:hAnsi="Arial" w:cs="Arial"/>
          <w:sz w:val="24"/>
          <w:szCs w:val="24"/>
        </w:rPr>
        <w:t xml:space="preserve"> na oferta permanente</w:t>
      </w:r>
      <w:r>
        <w:rPr>
          <w:rFonts w:ascii="Arial" w:hAnsi="Arial" w:cs="Arial"/>
          <w:sz w:val="24"/>
          <w:szCs w:val="24"/>
        </w:rPr>
        <w:t xml:space="preserve">, a região offshore entre os estados do Amapá e Pará ganharam o status de nova fronteira exploratória, com reservas estimadas que podem variar entre </w:t>
      </w:r>
      <w:r w:rsidRPr="00947666">
        <w:rPr>
          <w:rFonts w:ascii="Arial" w:hAnsi="Arial" w:cs="Arial"/>
          <w:sz w:val="24"/>
          <w:szCs w:val="24"/>
        </w:rPr>
        <w:t xml:space="preserve">10 bilhões </w:t>
      </w:r>
      <w:r w:rsidR="001E49F4" w:rsidRPr="00947666">
        <w:rPr>
          <w:rFonts w:ascii="Arial" w:hAnsi="Arial" w:cs="Arial"/>
          <w:sz w:val="24"/>
          <w:szCs w:val="24"/>
        </w:rPr>
        <w:t>e</w:t>
      </w:r>
      <w:r w:rsidRPr="00947666">
        <w:rPr>
          <w:rFonts w:ascii="Arial" w:hAnsi="Arial" w:cs="Arial"/>
          <w:sz w:val="24"/>
          <w:szCs w:val="24"/>
        </w:rPr>
        <w:t xml:space="preserve"> 30 bilhões de barris de óleo equivalente</w:t>
      </w:r>
      <w:r>
        <w:rPr>
          <w:rFonts w:ascii="Arial" w:hAnsi="Arial" w:cs="Arial"/>
          <w:sz w:val="24"/>
          <w:szCs w:val="24"/>
        </w:rPr>
        <w:t xml:space="preserve">, resultando em um volume comparável ao Pré-Sal. Como é inerente nesse estágio da fase </w:t>
      </w:r>
      <w:r w:rsidR="00CC18BF">
        <w:rPr>
          <w:rFonts w:ascii="Arial" w:hAnsi="Arial" w:cs="Arial"/>
          <w:sz w:val="24"/>
          <w:szCs w:val="24"/>
        </w:rPr>
        <w:t>exploratória</w:t>
      </w:r>
      <w:r>
        <w:rPr>
          <w:rFonts w:ascii="Arial" w:hAnsi="Arial" w:cs="Arial"/>
          <w:sz w:val="24"/>
          <w:szCs w:val="24"/>
        </w:rPr>
        <w:t xml:space="preserve">, ainda há lacunas no conhecimento do sistema petrolífero, ao qual as universidades podem contribuir. Neste sentido, o curso de Geologia da Universidade Federal do Oeste do Pará, por sua proximidade logística aos </w:t>
      </w:r>
      <w:r w:rsidRPr="00A91FD7">
        <w:rPr>
          <w:rFonts w:ascii="Arial" w:hAnsi="Arial" w:cs="Arial"/>
          <w:i/>
          <w:iCs/>
          <w:sz w:val="24"/>
          <w:szCs w:val="24"/>
        </w:rPr>
        <w:t>plays</w:t>
      </w:r>
      <w:r>
        <w:rPr>
          <w:rFonts w:ascii="Arial" w:hAnsi="Arial" w:cs="Arial"/>
          <w:sz w:val="24"/>
          <w:szCs w:val="24"/>
        </w:rPr>
        <w:t xml:space="preserve"> exploratórios e pela vocação no corpo docente e linhas de pesquisas associadas, busca fomentar a formação profissional dos discentes egressos voltada à exploração de hidrocarbonetos.</w:t>
      </w:r>
    </w:p>
    <w:p w14:paraId="118A121D" w14:textId="77777777" w:rsidR="00440EA3" w:rsidRPr="00F80580" w:rsidRDefault="00440EA3" w:rsidP="00440EA3">
      <w:pPr>
        <w:spacing w:line="355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lastRenderedPageBreak/>
        <w:t xml:space="preserve">Os maiores rios com capacidade de abastecimento, navegação e </w:t>
      </w:r>
      <w:r>
        <w:rPr>
          <w:rFonts w:ascii="Arial" w:hAnsi="Arial" w:cs="Arial"/>
          <w:sz w:val="24"/>
          <w:szCs w:val="24"/>
        </w:rPr>
        <w:t>geração de energia</w:t>
      </w:r>
      <w:r w:rsidRPr="00F80580">
        <w:rPr>
          <w:rFonts w:ascii="Arial" w:hAnsi="Arial" w:cs="Arial"/>
          <w:sz w:val="24"/>
          <w:szCs w:val="24"/>
        </w:rPr>
        <w:t xml:space="preserve"> estão nessa região, cuja Geologia e as transformações ao ambiente, decorrentes do uso e ocupação do meio físico, precisam ser estudadas na escala de detalhe. Da mesma forma, os estudos apontam grandes reservas de águas subterrâneas, cuja captação vem sendo intensificada na região, justificando-se estudos detalhados visando a gestão desse recurso (Oliveira 1996, Tancredi 1996, </w:t>
      </w:r>
      <w:proofErr w:type="spellStart"/>
      <w:r w:rsidRPr="00F80580">
        <w:rPr>
          <w:rFonts w:ascii="Arial" w:hAnsi="Arial" w:cs="Arial"/>
          <w:sz w:val="24"/>
          <w:szCs w:val="24"/>
        </w:rPr>
        <w:t>Zoby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&amp; Matos 2002, Ferreira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2007, </w:t>
      </w:r>
      <w:proofErr w:type="spellStart"/>
      <w:r w:rsidRPr="00F80580">
        <w:rPr>
          <w:rFonts w:ascii="Arial" w:hAnsi="Arial" w:cs="Arial"/>
          <w:sz w:val="24"/>
          <w:szCs w:val="24"/>
        </w:rPr>
        <w:t>Zoby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2008, Mente 2009).  </w:t>
      </w:r>
    </w:p>
    <w:p w14:paraId="78E58AC5" w14:textId="77777777" w:rsidR="00440EA3" w:rsidRPr="00F80580" w:rsidRDefault="00440EA3" w:rsidP="00440EA3">
      <w:pPr>
        <w:spacing w:line="355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Pesquisas revelam ainda uma variedade de ambientes geológicos propícios para a concentração de minerais-minérios que atendem a indústria moderna no mercado de bens básicos aos valiosos. Contudo, grande parte dessas reservas apontadas ainda não foi estudada em detalhe, na escala adequada à prospecção. A região também é propícia, frente ao crescimento urbano, para o aproveitamento de outros bens minerais, como areia, seixo, argila, insumos da indústria do cimento, indústria de gemas (ametista, cristal de rocha, diamante, topázio, turmalina) e água subterrânea (Amaral 1984, Almeida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2000, Ferreira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2000, Santos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2001, Santos 2002, Rodrigues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2008, </w:t>
      </w:r>
      <w:proofErr w:type="spellStart"/>
      <w:r w:rsidRPr="00F80580">
        <w:rPr>
          <w:rFonts w:ascii="Arial" w:hAnsi="Arial" w:cs="Arial"/>
          <w:sz w:val="24"/>
          <w:szCs w:val="24"/>
        </w:rPr>
        <w:t>Azzoni</w:t>
      </w:r>
      <w:proofErr w:type="spellEnd"/>
      <w:r w:rsidRPr="00F80580">
        <w:rPr>
          <w:rFonts w:ascii="Arial" w:hAnsi="Arial" w:cs="Arial"/>
          <w:sz w:val="24"/>
          <w:szCs w:val="24"/>
        </w:rPr>
        <w:t xml:space="preserve"> 2009, DNPM 2012).  </w:t>
      </w:r>
    </w:p>
    <w:p w14:paraId="1909962A" w14:textId="77777777" w:rsidR="00440EA3" w:rsidRPr="00F80580" w:rsidRDefault="00440EA3" w:rsidP="00440EA3">
      <w:pPr>
        <w:spacing w:line="357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Em geral, o conhecimento geológico na Amazônia brasileira compreende cartas regionais na escala de 1:500.000, 1:250.000 e, mais recentemente especificamente, na Província Aurífera do Tapajós, na escala de 1:100.000 (Almeida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2000, Ferreira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2000/2004, Klein &amp; Vasquez 2000, Klein </w:t>
      </w:r>
      <w:r w:rsidRPr="00F80580">
        <w:rPr>
          <w:rFonts w:ascii="Arial" w:hAnsi="Arial" w:cs="Arial"/>
          <w:i/>
          <w:sz w:val="24"/>
          <w:szCs w:val="24"/>
        </w:rPr>
        <w:t>et al.</w:t>
      </w:r>
      <w:r w:rsidRPr="00F80580">
        <w:rPr>
          <w:rFonts w:ascii="Arial" w:hAnsi="Arial" w:cs="Arial"/>
          <w:sz w:val="24"/>
          <w:szCs w:val="24"/>
        </w:rPr>
        <w:t xml:space="preserve"> 2001a/2001b, CPRM 2008). </w:t>
      </w:r>
    </w:p>
    <w:p w14:paraId="1FD280A2" w14:textId="77777777" w:rsidR="00440EA3" w:rsidRPr="00F80580" w:rsidRDefault="00440EA3" w:rsidP="00440EA3">
      <w:pPr>
        <w:spacing w:line="357" w:lineRule="auto"/>
        <w:ind w:left="269" w:right="48" w:firstLine="720"/>
        <w:jc w:val="both"/>
        <w:rPr>
          <w:rFonts w:ascii="Arial" w:hAnsi="Arial" w:cs="Arial"/>
          <w:sz w:val="24"/>
          <w:szCs w:val="24"/>
        </w:rPr>
      </w:pPr>
      <w:r w:rsidRPr="00F80580">
        <w:rPr>
          <w:rFonts w:ascii="Arial" w:hAnsi="Arial" w:cs="Arial"/>
          <w:sz w:val="24"/>
          <w:szCs w:val="24"/>
        </w:rPr>
        <w:t xml:space="preserve">Apesar de os estudos do subsolo e dos problemas ambientais da Região Amazônica ainda serem limitados, considerando-se suas dimensões, o complexo e diversificado cenário da Amazônia no território paraense aponta para o fato de que a aplicação de conhecimento geológico é investimento essencial tanto para assegurar o abastecimento energético e de matérias primas para a sociedade moderna e futuras gerações, como para contribuir com o desenvolvimento econômico da região Oeste do Pará. </w:t>
      </w:r>
    </w:p>
    <w:p w14:paraId="007244D9" w14:textId="460858DB" w:rsidR="00440EA3" w:rsidRDefault="00440EA3" w:rsidP="00341EB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</w:pPr>
      <w:r w:rsidRPr="00F80580">
        <w:rPr>
          <w:rFonts w:ascii="Arial" w:hAnsi="Arial" w:cs="Arial"/>
          <w:sz w:val="24"/>
          <w:szCs w:val="24"/>
        </w:rPr>
        <w:t xml:space="preserve">Por outro lado, a prospecção desses recursos requer aplicação baseada na sustentabilidade socioeconômica e ambiental. Assim, ao profissional Geólogo </w:t>
      </w:r>
      <w:r w:rsidRPr="00F80580">
        <w:rPr>
          <w:rFonts w:ascii="Arial" w:hAnsi="Arial" w:cs="Arial"/>
          <w:sz w:val="24"/>
          <w:szCs w:val="24"/>
        </w:rPr>
        <w:lastRenderedPageBreak/>
        <w:t>moderno exige-se e encoraja-se agregar aos seus conhecimentos a visão crítica e integrada da economia, planejamento e estruturas sociais, o equilíbrio entre conservação e uso consciente e racional dos recursos naturais, e a função de orientar as políticas públicas nas estratégias adequadas para a utilização dos recursos naturais, essenciais para desenvolvimento da sociedade e a necessidade da conservação do Planeta.</w:t>
      </w:r>
    </w:p>
    <w:sectPr w:rsidR="00440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A3"/>
    <w:rsid w:val="00000014"/>
    <w:rsid w:val="001E49F4"/>
    <w:rsid w:val="00207925"/>
    <w:rsid w:val="002163F1"/>
    <w:rsid w:val="00222083"/>
    <w:rsid w:val="002C61C3"/>
    <w:rsid w:val="002D2175"/>
    <w:rsid w:val="00341EBF"/>
    <w:rsid w:val="00440EA3"/>
    <w:rsid w:val="00441173"/>
    <w:rsid w:val="00450B96"/>
    <w:rsid w:val="004534C7"/>
    <w:rsid w:val="0045591F"/>
    <w:rsid w:val="00464AE2"/>
    <w:rsid w:val="00514855"/>
    <w:rsid w:val="00562E2F"/>
    <w:rsid w:val="0070214A"/>
    <w:rsid w:val="0074510C"/>
    <w:rsid w:val="007D4691"/>
    <w:rsid w:val="0082414F"/>
    <w:rsid w:val="008C61B4"/>
    <w:rsid w:val="009704FD"/>
    <w:rsid w:val="00AE1A5E"/>
    <w:rsid w:val="00AF2B89"/>
    <w:rsid w:val="00B23976"/>
    <w:rsid w:val="00B73A05"/>
    <w:rsid w:val="00B918B0"/>
    <w:rsid w:val="00BE362E"/>
    <w:rsid w:val="00BF1E30"/>
    <w:rsid w:val="00CC18BF"/>
    <w:rsid w:val="00DA23FA"/>
    <w:rsid w:val="00E25903"/>
    <w:rsid w:val="00F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D974"/>
  <w15:chartTrackingRefBased/>
  <w15:docId w15:val="{CBA95CD9-66CB-45F0-8E86-EC0CB4F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A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0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0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0EA3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1424</Words>
  <Characters>7978</Characters>
  <Application>Microsoft Office Word</Application>
  <DocSecurity>0</DocSecurity>
  <Lines>136</Lines>
  <Paragraphs>14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33</cp:revision>
  <dcterms:created xsi:type="dcterms:W3CDTF">2023-08-21T01:27:00Z</dcterms:created>
  <dcterms:modified xsi:type="dcterms:W3CDTF">2023-08-21T18:02:00Z</dcterms:modified>
</cp:coreProperties>
</file>